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43AD7" w14:textId="77777777" w:rsidR="009B5F91" w:rsidRDefault="009B5F91" w:rsidP="001B5E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86C919" w14:textId="77777777" w:rsidR="000971EE" w:rsidRDefault="000971EE" w:rsidP="001B5E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11FD96" w14:textId="19F40AF6" w:rsidR="001B5E79" w:rsidRPr="007B396F" w:rsidRDefault="001B5E79" w:rsidP="001B5E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Ogłoszenie o naborze wniosków na badania </w:t>
      </w:r>
      <w:r w:rsidR="00927471">
        <w:rPr>
          <w:rFonts w:ascii="Times New Roman" w:hAnsi="Times New Roman" w:cs="Times New Roman"/>
          <w:b/>
          <w:sz w:val="24"/>
          <w:szCs w:val="24"/>
        </w:rPr>
        <w:t>przedwdrożeniowe</w:t>
      </w:r>
      <w:r>
        <w:rPr>
          <w:rFonts w:ascii="Times New Roman" w:hAnsi="Times New Roman" w:cs="Times New Roman"/>
          <w:b/>
          <w:sz w:val="24"/>
          <w:szCs w:val="24"/>
        </w:rPr>
        <w:t xml:space="preserve"> w ramach projektu </w:t>
      </w:r>
      <w:r w:rsidRPr="007B396F">
        <w:rPr>
          <w:rFonts w:ascii="Times New Roman" w:hAnsi="Times New Roman" w:cs="Times New Roman"/>
          <w:b/>
          <w:sz w:val="24"/>
          <w:szCs w:val="24"/>
        </w:rPr>
        <w:t>„Inkubator Innowacyjności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1E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Pr="007B396F">
        <w:rPr>
          <w:rFonts w:ascii="Times New Roman" w:hAnsi="Times New Roman" w:cs="Times New Roman"/>
          <w:b/>
          <w:sz w:val="24"/>
          <w:szCs w:val="24"/>
        </w:rPr>
        <w:t>”</w:t>
      </w:r>
    </w:p>
    <w:p w14:paraId="643A0ECD" w14:textId="77777777" w:rsidR="007C02F7" w:rsidRDefault="007C02F7" w:rsidP="004B2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56B35D" w14:textId="6A740CE2" w:rsidR="004B2968" w:rsidRDefault="007C02F7" w:rsidP="004B2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122DDA" w:rsidRPr="007B396F">
        <w:rPr>
          <w:rFonts w:ascii="Times New Roman" w:hAnsi="Times New Roman" w:cs="Times New Roman"/>
          <w:b/>
          <w:sz w:val="24"/>
          <w:szCs w:val="24"/>
        </w:rPr>
        <w:t xml:space="preserve">ryb </w:t>
      </w:r>
      <w:r w:rsidR="008874AF">
        <w:rPr>
          <w:rFonts w:ascii="Times New Roman" w:hAnsi="Times New Roman" w:cs="Times New Roman"/>
          <w:b/>
          <w:sz w:val="24"/>
          <w:szCs w:val="24"/>
        </w:rPr>
        <w:t xml:space="preserve">kwalifikacji </w:t>
      </w:r>
      <w:r w:rsidR="0019013E">
        <w:rPr>
          <w:rFonts w:ascii="Times New Roman" w:hAnsi="Times New Roman" w:cs="Times New Roman"/>
          <w:b/>
          <w:sz w:val="24"/>
          <w:szCs w:val="24"/>
        </w:rPr>
        <w:t xml:space="preserve">Innowacji do dofinansowania </w:t>
      </w:r>
    </w:p>
    <w:p w14:paraId="732BBCB1" w14:textId="77777777" w:rsidR="004B2968" w:rsidRDefault="0019013E" w:rsidP="004B2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ramach realizacji prac przedwdrożeniowych </w:t>
      </w:r>
      <w:r w:rsidR="00122DDA" w:rsidRPr="007B396F">
        <w:rPr>
          <w:rFonts w:ascii="Times New Roman" w:hAnsi="Times New Roman" w:cs="Times New Roman"/>
          <w:b/>
          <w:sz w:val="24"/>
          <w:szCs w:val="24"/>
        </w:rPr>
        <w:t xml:space="preserve">ze środków projektu </w:t>
      </w:r>
    </w:p>
    <w:p w14:paraId="6FF2BE32" w14:textId="115887B7" w:rsidR="00122DDA" w:rsidRPr="007B396F" w:rsidRDefault="00122DDA" w:rsidP="001B5E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96F">
        <w:rPr>
          <w:rFonts w:ascii="Times New Roman" w:hAnsi="Times New Roman" w:cs="Times New Roman"/>
          <w:b/>
          <w:sz w:val="24"/>
          <w:szCs w:val="24"/>
        </w:rPr>
        <w:t>„Inkubator Innowacyjności</w:t>
      </w:r>
      <w:r w:rsidR="00AF2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6B3">
        <w:rPr>
          <w:rFonts w:ascii="Times New Roman" w:hAnsi="Times New Roman" w:cs="Times New Roman"/>
          <w:b/>
          <w:sz w:val="24"/>
          <w:szCs w:val="24"/>
        </w:rPr>
        <w:t>4</w:t>
      </w:r>
      <w:r w:rsidR="00203B2C">
        <w:rPr>
          <w:rFonts w:ascii="Times New Roman" w:hAnsi="Times New Roman" w:cs="Times New Roman"/>
          <w:b/>
          <w:sz w:val="24"/>
          <w:szCs w:val="24"/>
        </w:rPr>
        <w:t>.0</w:t>
      </w:r>
      <w:r w:rsidR="00203B2C" w:rsidRPr="007B396F">
        <w:rPr>
          <w:rFonts w:ascii="Times New Roman" w:hAnsi="Times New Roman" w:cs="Times New Roman"/>
          <w:b/>
          <w:sz w:val="24"/>
          <w:szCs w:val="24"/>
        </w:rPr>
        <w:t>”</w:t>
      </w:r>
    </w:p>
    <w:p w14:paraId="4E777395" w14:textId="77777777" w:rsidR="00122DDA" w:rsidRPr="0090750C" w:rsidRDefault="00122DDA" w:rsidP="00122DDA">
      <w:pPr>
        <w:jc w:val="both"/>
        <w:rPr>
          <w:rFonts w:ascii="Times New Roman" w:hAnsi="Times New Roman" w:cs="Times New Roman"/>
          <w:b/>
          <w:color w:val="008080"/>
          <w:sz w:val="2"/>
          <w:szCs w:val="20"/>
        </w:rPr>
      </w:pPr>
    </w:p>
    <w:p w14:paraId="66D43F26" w14:textId="77777777" w:rsidR="00FB2C3D" w:rsidRDefault="00FB2C3D" w:rsidP="00FB2C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C9B0FC" w14:textId="3E8A9DCB" w:rsidR="00FB2C3D" w:rsidRPr="009813F8" w:rsidRDefault="00FB2C3D" w:rsidP="00FB2C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13F8">
        <w:rPr>
          <w:rFonts w:ascii="Times New Roman" w:hAnsi="Times New Roman" w:cs="Times New Roman"/>
          <w:b/>
          <w:sz w:val="24"/>
          <w:szCs w:val="24"/>
        </w:rPr>
        <w:t>I. Przeznaczenie i wysokość dofinansowania</w:t>
      </w:r>
    </w:p>
    <w:p w14:paraId="60C7886D" w14:textId="77777777" w:rsidR="00FB2C3D" w:rsidRDefault="00FB2C3D" w:rsidP="009813F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99F8DD" w14:textId="36EEC4B5" w:rsidR="00ED72D3" w:rsidRDefault="00EF1EF7" w:rsidP="00E331CE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Konsorcjum </w:t>
      </w:r>
      <w:r w:rsidR="00ED72D3" w:rsidRPr="00292664">
        <w:rPr>
          <w:rFonts w:ascii="Times New Roman" w:hAnsi="Times New Roman" w:cs="Times New Roman"/>
          <w:sz w:val="20"/>
          <w:szCs w:val="20"/>
        </w:rPr>
        <w:t>U</w:t>
      </w:r>
      <w:r w:rsidR="00ED72D3">
        <w:rPr>
          <w:rFonts w:ascii="Times New Roman" w:hAnsi="Times New Roman" w:cs="Times New Roman"/>
          <w:sz w:val="20"/>
          <w:szCs w:val="20"/>
        </w:rPr>
        <w:t>niwersytet</w:t>
      </w:r>
      <w:r>
        <w:rPr>
          <w:rFonts w:ascii="Times New Roman" w:hAnsi="Times New Roman" w:cs="Times New Roman"/>
          <w:sz w:val="20"/>
          <w:szCs w:val="20"/>
        </w:rPr>
        <w:t>u</w:t>
      </w:r>
      <w:r w:rsidR="00ED72D3">
        <w:rPr>
          <w:rFonts w:ascii="Times New Roman" w:hAnsi="Times New Roman" w:cs="Times New Roman"/>
          <w:sz w:val="20"/>
          <w:szCs w:val="20"/>
        </w:rPr>
        <w:t xml:space="preserve"> </w:t>
      </w:r>
      <w:r w:rsidR="00ED72D3" w:rsidRPr="00292664">
        <w:rPr>
          <w:rFonts w:ascii="Times New Roman" w:hAnsi="Times New Roman" w:cs="Times New Roman"/>
          <w:sz w:val="20"/>
          <w:szCs w:val="20"/>
        </w:rPr>
        <w:t>J</w:t>
      </w:r>
      <w:r w:rsidR="00ED72D3">
        <w:rPr>
          <w:rFonts w:ascii="Times New Roman" w:hAnsi="Times New Roman" w:cs="Times New Roman"/>
          <w:sz w:val="20"/>
          <w:szCs w:val="20"/>
        </w:rPr>
        <w:t>agielloński</w:t>
      </w:r>
      <w:r>
        <w:rPr>
          <w:rFonts w:ascii="Times New Roman" w:hAnsi="Times New Roman" w:cs="Times New Roman"/>
          <w:sz w:val="20"/>
          <w:szCs w:val="20"/>
        </w:rPr>
        <w:t>ego</w:t>
      </w:r>
      <w:r w:rsidR="006566B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Uniwersytetu Ekonomicznego w Krakowie </w:t>
      </w:r>
      <w:r w:rsidR="006566B3">
        <w:rPr>
          <w:rFonts w:ascii="Times New Roman" w:hAnsi="Times New Roman" w:cs="Times New Roman"/>
          <w:sz w:val="20"/>
          <w:szCs w:val="20"/>
        </w:rPr>
        <w:t xml:space="preserve">oraz </w:t>
      </w:r>
      <w:proofErr w:type="spellStart"/>
      <w:r w:rsidR="006566B3">
        <w:rPr>
          <w:rFonts w:ascii="Times New Roman" w:hAnsi="Times New Roman" w:cs="Times New Roman"/>
          <w:sz w:val="20"/>
          <w:szCs w:val="20"/>
        </w:rPr>
        <w:t>InnoCel</w:t>
      </w:r>
      <w:proofErr w:type="spellEnd"/>
      <w:r w:rsidR="006566B3">
        <w:rPr>
          <w:rFonts w:ascii="Times New Roman" w:hAnsi="Times New Roman" w:cs="Times New Roman"/>
          <w:sz w:val="20"/>
          <w:szCs w:val="20"/>
        </w:rPr>
        <w:t xml:space="preserve"> Spółki Celowej </w:t>
      </w:r>
      <w:r w:rsidR="006F51F2">
        <w:rPr>
          <w:rFonts w:ascii="Times New Roman" w:hAnsi="Times New Roman" w:cs="Times New Roman"/>
          <w:sz w:val="20"/>
          <w:szCs w:val="20"/>
        </w:rPr>
        <w:t>U</w:t>
      </w:r>
      <w:r w:rsidR="006566B3">
        <w:rPr>
          <w:rFonts w:ascii="Times New Roman" w:hAnsi="Times New Roman" w:cs="Times New Roman"/>
          <w:sz w:val="20"/>
          <w:szCs w:val="20"/>
        </w:rPr>
        <w:t xml:space="preserve">niwersytetu Jagiellońskiego sp. z o.o. </w:t>
      </w:r>
      <w:r w:rsidR="00ED72D3">
        <w:rPr>
          <w:rFonts w:ascii="Times New Roman" w:hAnsi="Times New Roman" w:cs="Times New Roman"/>
          <w:sz w:val="20"/>
          <w:szCs w:val="20"/>
        </w:rPr>
        <w:t xml:space="preserve">(dalej: </w:t>
      </w:r>
      <w:r>
        <w:rPr>
          <w:rFonts w:ascii="Times New Roman" w:hAnsi="Times New Roman" w:cs="Times New Roman"/>
          <w:b/>
          <w:sz w:val="20"/>
          <w:szCs w:val="20"/>
        </w:rPr>
        <w:t>Konsorcjum</w:t>
      </w:r>
      <w:r>
        <w:rPr>
          <w:rFonts w:ascii="Times New Roman" w:hAnsi="Times New Roman" w:cs="Times New Roman"/>
          <w:sz w:val="20"/>
          <w:szCs w:val="20"/>
        </w:rPr>
        <w:t>)</w:t>
      </w:r>
      <w:r w:rsidR="009D0E10">
        <w:rPr>
          <w:rFonts w:ascii="Times New Roman" w:hAnsi="Times New Roman" w:cs="Times New Roman"/>
          <w:sz w:val="20"/>
          <w:szCs w:val="20"/>
        </w:rPr>
        <w:t xml:space="preserve"> w latach</w:t>
      </w:r>
      <w:r w:rsidR="00ED72D3" w:rsidRPr="00F939D0">
        <w:rPr>
          <w:rFonts w:ascii="Times New Roman" w:hAnsi="Times New Roman" w:cs="Times New Roman"/>
          <w:sz w:val="20"/>
          <w:szCs w:val="20"/>
        </w:rPr>
        <w:t xml:space="preserve"> </w:t>
      </w:r>
      <w:r w:rsidR="00A32B46">
        <w:rPr>
          <w:rFonts w:ascii="Times New Roman" w:hAnsi="Times New Roman" w:cs="Times New Roman"/>
          <w:sz w:val="20"/>
          <w:szCs w:val="20"/>
        </w:rPr>
        <w:t>20</w:t>
      </w:r>
      <w:r w:rsidR="00BA50D1">
        <w:rPr>
          <w:rFonts w:ascii="Times New Roman" w:hAnsi="Times New Roman" w:cs="Times New Roman"/>
          <w:sz w:val="20"/>
          <w:szCs w:val="20"/>
        </w:rPr>
        <w:t>20</w:t>
      </w:r>
      <w:r w:rsidR="00A32B46">
        <w:rPr>
          <w:rFonts w:ascii="Times New Roman" w:hAnsi="Times New Roman" w:cs="Times New Roman"/>
          <w:sz w:val="20"/>
          <w:szCs w:val="20"/>
        </w:rPr>
        <w:t>-202</w:t>
      </w:r>
      <w:r w:rsidR="00BA50D1">
        <w:rPr>
          <w:rFonts w:ascii="Times New Roman" w:hAnsi="Times New Roman" w:cs="Times New Roman"/>
          <w:sz w:val="20"/>
          <w:szCs w:val="20"/>
        </w:rPr>
        <w:t>2</w:t>
      </w:r>
      <w:r w:rsidR="00A32B46">
        <w:rPr>
          <w:rFonts w:ascii="Times New Roman" w:hAnsi="Times New Roman" w:cs="Times New Roman"/>
          <w:sz w:val="20"/>
          <w:szCs w:val="20"/>
        </w:rPr>
        <w:t xml:space="preserve"> </w:t>
      </w:r>
      <w:r w:rsidR="00ED72D3" w:rsidRPr="00292664">
        <w:rPr>
          <w:rFonts w:ascii="Times New Roman" w:hAnsi="Times New Roman" w:cs="Times New Roman"/>
          <w:sz w:val="20"/>
          <w:szCs w:val="20"/>
        </w:rPr>
        <w:t xml:space="preserve">realizuje projekt </w:t>
      </w:r>
      <w:r w:rsidR="00ED72D3" w:rsidRPr="00F939D0">
        <w:rPr>
          <w:rFonts w:ascii="Times New Roman" w:hAnsi="Times New Roman" w:cs="Times New Roman"/>
          <w:sz w:val="20"/>
          <w:szCs w:val="20"/>
        </w:rPr>
        <w:t>„Inkubator innowacyjności</w:t>
      </w:r>
      <w:r w:rsidR="00ED72D3">
        <w:rPr>
          <w:rFonts w:ascii="Times New Roman" w:hAnsi="Times New Roman" w:cs="Times New Roman"/>
          <w:sz w:val="20"/>
          <w:szCs w:val="20"/>
        </w:rPr>
        <w:t xml:space="preserve"> </w:t>
      </w:r>
      <w:r w:rsidR="006566B3">
        <w:rPr>
          <w:rFonts w:ascii="Times New Roman" w:hAnsi="Times New Roman" w:cs="Times New Roman"/>
          <w:sz w:val="20"/>
          <w:szCs w:val="20"/>
        </w:rPr>
        <w:t>4</w:t>
      </w:r>
      <w:r w:rsidR="009D0E10">
        <w:rPr>
          <w:rFonts w:ascii="Times New Roman" w:hAnsi="Times New Roman" w:cs="Times New Roman"/>
          <w:sz w:val="20"/>
          <w:szCs w:val="20"/>
        </w:rPr>
        <w:t>.0</w:t>
      </w:r>
      <w:r w:rsidR="00ED72D3" w:rsidRPr="00F939D0">
        <w:rPr>
          <w:rFonts w:ascii="Times New Roman" w:hAnsi="Times New Roman" w:cs="Times New Roman"/>
          <w:sz w:val="20"/>
          <w:szCs w:val="20"/>
        </w:rPr>
        <w:t xml:space="preserve">” </w:t>
      </w:r>
      <w:r w:rsidR="00ED72D3" w:rsidRPr="00292664">
        <w:rPr>
          <w:rFonts w:ascii="Times New Roman" w:hAnsi="Times New Roman" w:cs="Times New Roman"/>
          <w:sz w:val="20"/>
          <w:szCs w:val="20"/>
        </w:rPr>
        <w:t xml:space="preserve">w ramach </w:t>
      </w:r>
      <w:r w:rsidR="00ED72D3" w:rsidRPr="005124BF">
        <w:rPr>
          <w:rFonts w:ascii="Times New Roman" w:hAnsi="Times New Roman" w:cs="Times New Roman"/>
          <w:sz w:val="20"/>
          <w:szCs w:val="20"/>
        </w:rPr>
        <w:t>przedsięwzięcia Ministra Nauki i Szkolnictwa Wyższego „Inkubator innowacyjności</w:t>
      </w:r>
      <w:r w:rsidR="00A32B46" w:rsidRPr="005124BF">
        <w:rPr>
          <w:rFonts w:ascii="Times New Roman" w:hAnsi="Times New Roman" w:cs="Times New Roman"/>
          <w:sz w:val="20"/>
          <w:szCs w:val="20"/>
        </w:rPr>
        <w:t xml:space="preserve"> </w:t>
      </w:r>
      <w:r w:rsidR="006566B3">
        <w:rPr>
          <w:rFonts w:ascii="Times New Roman" w:hAnsi="Times New Roman" w:cs="Times New Roman"/>
          <w:sz w:val="20"/>
          <w:szCs w:val="20"/>
        </w:rPr>
        <w:t>4</w:t>
      </w:r>
      <w:r w:rsidR="00A32B46" w:rsidRPr="005124BF">
        <w:rPr>
          <w:rFonts w:ascii="Times New Roman" w:hAnsi="Times New Roman" w:cs="Times New Roman"/>
          <w:sz w:val="20"/>
          <w:szCs w:val="20"/>
        </w:rPr>
        <w:t>.0</w:t>
      </w:r>
      <w:r w:rsidR="00ED72D3" w:rsidRPr="005124BF">
        <w:rPr>
          <w:rFonts w:ascii="Times New Roman" w:hAnsi="Times New Roman" w:cs="Times New Roman"/>
          <w:sz w:val="20"/>
          <w:szCs w:val="20"/>
        </w:rPr>
        <w:t>”</w:t>
      </w:r>
      <w:r w:rsidR="00910155">
        <w:rPr>
          <w:rFonts w:ascii="Times New Roman" w:hAnsi="Times New Roman" w:cs="Times New Roman"/>
          <w:sz w:val="20"/>
          <w:szCs w:val="20"/>
        </w:rPr>
        <w:t xml:space="preserve"> </w:t>
      </w:r>
      <w:r w:rsidR="00ED72D3" w:rsidRPr="005124BF">
        <w:rPr>
          <w:rFonts w:ascii="Times New Roman" w:hAnsi="Times New Roman" w:cs="Times New Roman"/>
          <w:sz w:val="20"/>
          <w:szCs w:val="20"/>
        </w:rPr>
        <w:t>(</w:t>
      </w:r>
      <w:r w:rsidR="00ED72D3">
        <w:rPr>
          <w:rFonts w:ascii="Times New Roman" w:hAnsi="Times New Roman" w:cs="Times New Roman"/>
          <w:sz w:val="20"/>
          <w:szCs w:val="20"/>
        </w:rPr>
        <w:t xml:space="preserve">dalej: </w:t>
      </w:r>
      <w:r w:rsidR="00ED72D3">
        <w:rPr>
          <w:rFonts w:ascii="Times New Roman" w:hAnsi="Times New Roman" w:cs="Times New Roman"/>
          <w:b/>
          <w:sz w:val="20"/>
          <w:szCs w:val="20"/>
        </w:rPr>
        <w:t>Projekt</w:t>
      </w:r>
      <w:r w:rsidR="00ED72D3">
        <w:rPr>
          <w:rFonts w:ascii="Times New Roman" w:hAnsi="Times New Roman" w:cs="Times New Roman"/>
          <w:sz w:val="20"/>
          <w:szCs w:val="20"/>
        </w:rPr>
        <w:t>).</w:t>
      </w:r>
      <w:r w:rsidR="001B5E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C2270C" w14:textId="56E5C3EF" w:rsidR="004412F3" w:rsidRDefault="00ED72D3" w:rsidP="004412F3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4B9FE9BB">
        <w:rPr>
          <w:rFonts w:ascii="Times New Roman" w:hAnsi="Times New Roman" w:cs="Times New Roman"/>
          <w:sz w:val="20"/>
          <w:szCs w:val="20"/>
        </w:rPr>
        <w:t xml:space="preserve">Zadania projektowe realizowane są w całości przez Centrum Transferu Technologii CITTRU </w:t>
      </w:r>
      <w:r w:rsidR="00E331CE" w:rsidRPr="4B9FE9BB">
        <w:rPr>
          <w:rFonts w:ascii="Times New Roman" w:hAnsi="Times New Roman" w:cs="Times New Roman"/>
          <w:sz w:val="20"/>
          <w:szCs w:val="20"/>
        </w:rPr>
        <w:t xml:space="preserve">UJ </w:t>
      </w:r>
      <w:r w:rsidRPr="4B9FE9BB">
        <w:rPr>
          <w:rFonts w:ascii="Times New Roman" w:hAnsi="Times New Roman" w:cs="Times New Roman"/>
          <w:sz w:val="20"/>
          <w:szCs w:val="20"/>
        </w:rPr>
        <w:t xml:space="preserve">(dalej: </w:t>
      </w:r>
      <w:r w:rsidRPr="4B9FE9BB">
        <w:rPr>
          <w:rFonts w:ascii="Times New Roman" w:hAnsi="Times New Roman" w:cs="Times New Roman"/>
          <w:b/>
          <w:bCs/>
          <w:sz w:val="20"/>
          <w:szCs w:val="20"/>
        </w:rPr>
        <w:t>CTT</w:t>
      </w:r>
      <w:r w:rsidR="00C2149B" w:rsidRPr="4B9FE9BB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4B9FE9BB">
        <w:rPr>
          <w:rFonts w:ascii="Times New Roman" w:hAnsi="Times New Roman" w:cs="Times New Roman"/>
          <w:b/>
          <w:bCs/>
          <w:sz w:val="20"/>
          <w:szCs w:val="20"/>
        </w:rPr>
        <w:t>CITTRU</w:t>
      </w:r>
      <w:r w:rsidRPr="4B9FE9BB">
        <w:rPr>
          <w:rFonts w:ascii="Times New Roman" w:hAnsi="Times New Roman" w:cs="Times New Roman"/>
          <w:sz w:val="20"/>
          <w:szCs w:val="20"/>
        </w:rPr>
        <w:t>)</w:t>
      </w:r>
      <w:r w:rsidR="006F51F2" w:rsidRPr="4B9FE9BB">
        <w:rPr>
          <w:rFonts w:ascii="Times New Roman" w:hAnsi="Times New Roman" w:cs="Times New Roman"/>
          <w:sz w:val="20"/>
          <w:szCs w:val="20"/>
        </w:rPr>
        <w:t xml:space="preserve">, </w:t>
      </w:r>
      <w:r w:rsidR="00E331CE" w:rsidRPr="4B9FE9BB">
        <w:rPr>
          <w:rFonts w:ascii="Times New Roman" w:hAnsi="Times New Roman" w:cs="Times New Roman"/>
          <w:sz w:val="20"/>
          <w:szCs w:val="20"/>
        </w:rPr>
        <w:t>Dział</w:t>
      </w:r>
      <w:r w:rsidR="00EF1EF7" w:rsidRPr="4B9FE9BB">
        <w:rPr>
          <w:rFonts w:ascii="Times New Roman" w:hAnsi="Times New Roman" w:cs="Times New Roman"/>
          <w:sz w:val="20"/>
          <w:szCs w:val="20"/>
        </w:rPr>
        <w:t xml:space="preserve"> Transferu Wiedzy i Projektów </w:t>
      </w:r>
      <w:r w:rsidR="00E331CE" w:rsidRPr="4B9FE9BB">
        <w:rPr>
          <w:rFonts w:ascii="Times New Roman" w:hAnsi="Times New Roman" w:cs="Times New Roman"/>
          <w:sz w:val="20"/>
          <w:szCs w:val="20"/>
        </w:rPr>
        <w:t xml:space="preserve"> UEK (dalej: </w:t>
      </w:r>
      <w:proofErr w:type="spellStart"/>
      <w:r w:rsidR="00E331CE" w:rsidRPr="4B9FE9BB">
        <w:rPr>
          <w:rFonts w:ascii="Times New Roman" w:hAnsi="Times New Roman" w:cs="Times New Roman"/>
          <w:b/>
          <w:bCs/>
          <w:sz w:val="20"/>
          <w:szCs w:val="20"/>
        </w:rPr>
        <w:t>DTWiP</w:t>
      </w:r>
      <w:proofErr w:type="spellEnd"/>
      <w:r w:rsidR="006F51F2" w:rsidRPr="4B9FE9BB">
        <w:rPr>
          <w:rFonts w:ascii="Times New Roman" w:hAnsi="Times New Roman" w:cs="Times New Roman"/>
          <w:sz w:val="20"/>
          <w:szCs w:val="20"/>
        </w:rPr>
        <w:t xml:space="preserve">) oraz </w:t>
      </w:r>
      <w:proofErr w:type="spellStart"/>
      <w:r w:rsidR="006F51F2" w:rsidRPr="4B9FE9BB">
        <w:rPr>
          <w:rFonts w:ascii="Times New Roman" w:hAnsi="Times New Roman" w:cs="Times New Roman"/>
          <w:sz w:val="20"/>
          <w:szCs w:val="20"/>
        </w:rPr>
        <w:t>InnoCel</w:t>
      </w:r>
      <w:proofErr w:type="spellEnd"/>
      <w:r w:rsidR="006F51F2" w:rsidRPr="4B9FE9BB">
        <w:rPr>
          <w:rFonts w:ascii="Times New Roman" w:hAnsi="Times New Roman" w:cs="Times New Roman"/>
          <w:sz w:val="20"/>
          <w:szCs w:val="20"/>
        </w:rPr>
        <w:t xml:space="preserve"> Spółkę Celową Uniwersytetu Jagiellońskiego sp. z o.o. (dalej: </w:t>
      </w:r>
      <w:proofErr w:type="spellStart"/>
      <w:r w:rsidR="006F51F2" w:rsidRPr="4B9FE9BB">
        <w:rPr>
          <w:rFonts w:ascii="Times New Roman" w:hAnsi="Times New Roman" w:cs="Times New Roman"/>
          <w:b/>
          <w:bCs/>
          <w:sz w:val="20"/>
          <w:szCs w:val="20"/>
        </w:rPr>
        <w:t>InnoCel</w:t>
      </w:r>
      <w:proofErr w:type="spellEnd"/>
      <w:r w:rsidR="006F51F2" w:rsidRPr="4B9FE9BB">
        <w:rPr>
          <w:rFonts w:ascii="Times New Roman" w:hAnsi="Times New Roman" w:cs="Times New Roman"/>
          <w:sz w:val="20"/>
          <w:szCs w:val="20"/>
        </w:rPr>
        <w:t>)</w:t>
      </w:r>
      <w:r w:rsidRPr="4B9FE9BB">
        <w:rPr>
          <w:rFonts w:ascii="Times New Roman" w:hAnsi="Times New Roman" w:cs="Times New Roman"/>
          <w:sz w:val="20"/>
          <w:szCs w:val="20"/>
        </w:rPr>
        <w:t>.</w:t>
      </w:r>
      <w:r w:rsidR="00033398" w:rsidRPr="4B9FE9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F6B52F" w14:textId="1055A6F0" w:rsidR="004412F3" w:rsidRPr="004412F3" w:rsidRDefault="00ED72D3" w:rsidP="004412F3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4B9FE9BB">
        <w:rPr>
          <w:rFonts w:ascii="Times New Roman" w:hAnsi="Times New Roman" w:cs="Times New Roman"/>
          <w:sz w:val="20"/>
          <w:szCs w:val="20"/>
        </w:rPr>
        <w:t>W</w:t>
      </w:r>
      <w:r w:rsidR="007C5899" w:rsidRPr="4B9FE9BB">
        <w:rPr>
          <w:rFonts w:ascii="Times New Roman" w:hAnsi="Times New Roman" w:cs="Times New Roman"/>
          <w:sz w:val="20"/>
          <w:szCs w:val="20"/>
        </w:rPr>
        <w:t> </w:t>
      </w:r>
      <w:r w:rsidRPr="4B9FE9BB">
        <w:rPr>
          <w:rFonts w:ascii="Times New Roman" w:hAnsi="Times New Roman" w:cs="Times New Roman"/>
          <w:sz w:val="20"/>
          <w:szCs w:val="20"/>
        </w:rPr>
        <w:t>ramach zadań projektowych CTT CITTRU</w:t>
      </w:r>
      <w:r w:rsidR="006F51F2" w:rsidRPr="4B9FE9B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30122" w:rsidRPr="4B9FE9BB">
        <w:rPr>
          <w:rFonts w:ascii="Times New Roman" w:hAnsi="Times New Roman" w:cs="Times New Roman"/>
          <w:sz w:val="20"/>
          <w:szCs w:val="20"/>
        </w:rPr>
        <w:t>DTWiP</w:t>
      </w:r>
      <w:proofErr w:type="spellEnd"/>
      <w:r w:rsidR="00F30122" w:rsidRPr="4B9FE9BB">
        <w:rPr>
          <w:rFonts w:ascii="Times New Roman" w:hAnsi="Times New Roman" w:cs="Times New Roman"/>
          <w:sz w:val="20"/>
          <w:szCs w:val="20"/>
        </w:rPr>
        <w:t xml:space="preserve"> </w:t>
      </w:r>
      <w:r w:rsidR="006F51F2" w:rsidRPr="4B9FE9BB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="006F51F2" w:rsidRPr="4B9FE9BB">
        <w:rPr>
          <w:rFonts w:ascii="Times New Roman" w:hAnsi="Times New Roman" w:cs="Times New Roman"/>
          <w:sz w:val="20"/>
          <w:szCs w:val="20"/>
        </w:rPr>
        <w:t>InnoCel</w:t>
      </w:r>
      <w:proofErr w:type="spellEnd"/>
      <w:r w:rsidR="006F51F2" w:rsidRPr="4B9FE9BB">
        <w:rPr>
          <w:rFonts w:ascii="Times New Roman" w:hAnsi="Times New Roman" w:cs="Times New Roman"/>
          <w:sz w:val="20"/>
          <w:szCs w:val="20"/>
        </w:rPr>
        <w:t xml:space="preserve"> </w:t>
      </w:r>
      <w:r w:rsidR="00F30122" w:rsidRPr="4B9FE9BB">
        <w:rPr>
          <w:rFonts w:ascii="Times New Roman" w:hAnsi="Times New Roman" w:cs="Times New Roman"/>
          <w:sz w:val="20"/>
          <w:szCs w:val="20"/>
        </w:rPr>
        <w:t>realizują</w:t>
      </w:r>
      <w:r w:rsidRPr="4B9FE9BB">
        <w:rPr>
          <w:rFonts w:ascii="Times New Roman" w:hAnsi="Times New Roman" w:cs="Times New Roman"/>
          <w:sz w:val="20"/>
          <w:szCs w:val="20"/>
        </w:rPr>
        <w:t xml:space="preserve"> zadanie 4. „Prowadzenie prac przedwdrożeniowych, w tym dodatkowych testów laboratoryjnych lub dostosowania wynalazku do potrzeb zainteresowanego nabywcy</w:t>
      </w:r>
      <w:r w:rsidR="00910155" w:rsidRPr="4B9FE9BB">
        <w:rPr>
          <w:rFonts w:ascii="Times New Roman" w:hAnsi="Times New Roman" w:cs="Times New Roman"/>
          <w:sz w:val="20"/>
          <w:szCs w:val="20"/>
        </w:rPr>
        <w:t>”.</w:t>
      </w:r>
      <w:r w:rsidR="004412F3" w:rsidRPr="4B9FE9BB">
        <w:rPr>
          <w:rFonts w:ascii="Times New Roman" w:hAnsi="Times New Roman" w:cs="Times New Roman"/>
          <w:sz w:val="20"/>
          <w:szCs w:val="20"/>
        </w:rPr>
        <w:t xml:space="preserve"> W związku z powyższym CTT CITTRU, </w:t>
      </w:r>
      <w:proofErr w:type="spellStart"/>
      <w:r w:rsidR="004412F3" w:rsidRPr="4B9FE9BB">
        <w:rPr>
          <w:rFonts w:ascii="Times New Roman" w:hAnsi="Times New Roman" w:cs="Times New Roman"/>
          <w:sz w:val="20"/>
          <w:szCs w:val="20"/>
        </w:rPr>
        <w:t>DTWiP</w:t>
      </w:r>
      <w:proofErr w:type="spellEnd"/>
      <w:r w:rsidR="004412F3" w:rsidRPr="4B9FE9BB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4412F3" w:rsidRPr="4B9FE9BB">
        <w:rPr>
          <w:rFonts w:ascii="Times New Roman" w:hAnsi="Times New Roman" w:cs="Times New Roman"/>
          <w:sz w:val="20"/>
          <w:szCs w:val="20"/>
        </w:rPr>
        <w:t>InnoCel</w:t>
      </w:r>
      <w:proofErr w:type="spellEnd"/>
      <w:r w:rsidR="004412F3" w:rsidRPr="4B9FE9BB">
        <w:rPr>
          <w:rFonts w:ascii="Times New Roman" w:hAnsi="Times New Roman" w:cs="Times New Roman"/>
          <w:sz w:val="20"/>
          <w:szCs w:val="20"/>
        </w:rPr>
        <w:t xml:space="preserve"> ogłaszają nabór wniosków na badania przedwdrożeniowe finansowane ze środków Projektu. </w:t>
      </w:r>
    </w:p>
    <w:p w14:paraId="2A470558" w14:textId="0041977C" w:rsidR="004412F3" w:rsidRDefault="004412F3" w:rsidP="004412F3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15D72CB1">
        <w:rPr>
          <w:rFonts w:ascii="Times New Roman" w:hAnsi="Times New Roman" w:cs="Times New Roman"/>
          <w:sz w:val="20"/>
          <w:szCs w:val="20"/>
        </w:rPr>
        <w:t>W ramach realizacji ww. zadania finansowane będą działania związane z realizacją procesu komercjalizacji  Innowacji opracowanych przez zespoły badawcze UJ i</w:t>
      </w:r>
      <w:r w:rsidR="00436D24">
        <w:rPr>
          <w:rFonts w:ascii="Times New Roman" w:hAnsi="Times New Roman" w:cs="Times New Roman"/>
          <w:sz w:val="20"/>
          <w:szCs w:val="20"/>
        </w:rPr>
        <w:t>/lub</w:t>
      </w:r>
      <w:r w:rsidRPr="15D72CB1">
        <w:rPr>
          <w:rFonts w:ascii="Times New Roman" w:hAnsi="Times New Roman" w:cs="Times New Roman"/>
          <w:sz w:val="20"/>
          <w:szCs w:val="20"/>
        </w:rPr>
        <w:t xml:space="preserve"> UEK (dalej: </w:t>
      </w:r>
      <w:r w:rsidRPr="15D72CB1">
        <w:rPr>
          <w:rFonts w:ascii="Times New Roman" w:hAnsi="Times New Roman" w:cs="Times New Roman"/>
          <w:b/>
          <w:bCs/>
          <w:sz w:val="20"/>
          <w:szCs w:val="20"/>
        </w:rPr>
        <w:t>Innowacja</w:t>
      </w:r>
      <w:r w:rsidRPr="15D72CB1">
        <w:rPr>
          <w:rFonts w:ascii="Times New Roman" w:hAnsi="Times New Roman" w:cs="Times New Roman"/>
          <w:sz w:val="20"/>
          <w:szCs w:val="20"/>
        </w:rPr>
        <w:t xml:space="preserve">). Finansowaniu będą podlegać działania </w:t>
      </w:r>
      <w:r w:rsidR="6D44FC54" w:rsidRPr="15D72CB1">
        <w:rPr>
          <w:rFonts w:ascii="Times New Roman" w:hAnsi="Times New Roman" w:cs="Times New Roman"/>
          <w:sz w:val="20"/>
          <w:szCs w:val="20"/>
        </w:rPr>
        <w:t xml:space="preserve">sprzyjające </w:t>
      </w:r>
      <w:r w:rsidRPr="15D72CB1">
        <w:rPr>
          <w:rFonts w:ascii="Times New Roman" w:hAnsi="Times New Roman" w:cs="Times New Roman"/>
          <w:sz w:val="20"/>
          <w:szCs w:val="20"/>
        </w:rPr>
        <w:t xml:space="preserve"> </w:t>
      </w:r>
      <w:r w:rsidR="6AB57196" w:rsidRPr="15D72CB1">
        <w:rPr>
          <w:rFonts w:ascii="Times New Roman" w:hAnsi="Times New Roman" w:cs="Times New Roman"/>
          <w:sz w:val="20"/>
          <w:szCs w:val="20"/>
        </w:rPr>
        <w:t xml:space="preserve">osiągnięciu </w:t>
      </w:r>
      <w:r w:rsidRPr="15D72CB1">
        <w:rPr>
          <w:rFonts w:ascii="Times New Roman" w:hAnsi="Times New Roman" w:cs="Times New Roman"/>
          <w:sz w:val="20"/>
          <w:szCs w:val="20"/>
        </w:rPr>
        <w:t>sukces</w:t>
      </w:r>
      <w:r w:rsidR="202A59AE" w:rsidRPr="15D72CB1">
        <w:rPr>
          <w:rFonts w:ascii="Times New Roman" w:hAnsi="Times New Roman" w:cs="Times New Roman"/>
          <w:sz w:val="20"/>
          <w:szCs w:val="20"/>
        </w:rPr>
        <w:t>u</w:t>
      </w:r>
      <w:r w:rsidRPr="15D72CB1">
        <w:rPr>
          <w:rFonts w:ascii="Times New Roman" w:hAnsi="Times New Roman" w:cs="Times New Roman"/>
          <w:sz w:val="20"/>
          <w:szCs w:val="20"/>
        </w:rPr>
        <w:t xml:space="preserve"> </w:t>
      </w:r>
      <w:r w:rsidR="0AD7A687" w:rsidRPr="15D72CB1">
        <w:rPr>
          <w:rFonts w:ascii="Times New Roman" w:hAnsi="Times New Roman" w:cs="Times New Roman"/>
          <w:sz w:val="20"/>
          <w:szCs w:val="20"/>
        </w:rPr>
        <w:t xml:space="preserve">w </w:t>
      </w:r>
      <w:r w:rsidRPr="15D72CB1">
        <w:rPr>
          <w:rFonts w:ascii="Times New Roman" w:hAnsi="Times New Roman" w:cs="Times New Roman"/>
          <w:sz w:val="20"/>
          <w:szCs w:val="20"/>
        </w:rPr>
        <w:t>proces</w:t>
      </w:r>
      <w:r w:rsidR="046ACAD0" w:rsidRPr="15D72CB1">
        <w:rPr>
          <w:rFonts w:ascii="Times New Roman" w:hAnsi="Times New Roman" w:cs="Times New Roman"/>
          <w:sz w:val="20"/>
          <w:szCs w:val="20"/>
        </w:rPr>
        <w:t>ie</w:t>
      </w:r>
      <w:r w:rsidRPr="15D72CB1">
        <w:rPr>
          <w:rFonts w:ascii="Times New Roman" w:hAnsi="Times New Roman" w:cs="Times New Roman"/>
          <w:sz w:val="20"/>
          <w:szCs w:val="20"/>
        </w:rPr>
        <w:t xml:space="preserve"> komercjalizacji, w szczególności prace badawcze zmierzające do podniesienia poziomu gotowości Innowacji do wdrożenia</w:t>
      </w:r>
      <w:r w:rsidR="053870E6" w:rsidRPr="15D72CB1">
        <w:rPr>
          <w:rFonts w:ascii="Times New Roman" w:hAnsi="Times New Roman" w:cs="Times New Roman"/>
          <w:sz w:val="20"/>
          <w:szCs w:val="20"/>
        </w:rPr>
        <w:t>,</w:t>
      </w:r>
      <w:r w:rsidRPr="15D72CB1">
        <w:rPr>
          <w:rFonts w:ascii="Times New Roman" w:hAnsi="Times New Roman" w:cs="Times New Roman"/>
          <w:sz w:val="20"/>
          <w:szCs w:val="20"/>
        </w:rPr>
        <w:t xml:space="preserve">  </w:t>
      </w:r>
      <w:r w:rsidR="0B641AEC" w:rsidRPr="15D72CB1">
        <w:rPr>
          <w:rFonts w:ascii="Times New Roman" w:hAnsi="Times New Roman" w:cs="Times New Roman"/>
          <w:sz w:val="20"/>
          <w:szCs w:val="20"/>
        </w:rPr>
        <w:t xml:space="preserve">zwłaszcza, jeśli planowane jest wdrożenie poprzez </w:t>
      </w:r>
      <w:r w:rsidRPr="15D72CB1">
        <w:rPr>
          <w:rFonts w:ascii="Times New Roman" w:hAnsi="Times New Roman" w:cs="Times New Roman"/>
          <w:sz w:val="20"/>
          <w:szCs w:val="20"/>
        </w:rPr>
        <w:t xml:space="preserve"> powołani</w:t>
      </w:r>
      <w:r w:rsidR="5AC8AF5C" w:rsidRPr="15D72CB1">
        <w:rPr>
          <w:rFonts w:ascii="Times New Roman" w:hAnsi="Times New Roman" w:cs="Times New Roman"/>
          <w:sz w:val="20"/>
          <w:szCs w:val="20"/>
        </w:rPr>
        <w:t>e</w:t>
      </w:r>
      <w:r w:rsidR="00436D24">
        <w:rPr>
          <w:rFonts w:ascii="Times New Roman" w:hAnsi="Times New Roman" w:cs="Times New Roman"/>
          <w:sz w:val="20"/>
          <w:szCs w:val="20"/>
        </w:rPr>
        <w:t xml:space="preserve"> </w:t>
      </w:r>
      <w:r w:rsidRPr="15D72CB1">
        <w:rPr>
          <w:rFonts w:ascii="Times New Roman" w:hAnsi="Times New Roman" w:cs="Times New Roman"/>
          <w:sz w:val="20"/>
          <w:szCs w:val="20"/>
        </w:rPr>
        <w:t xml:space="preserve">spółki typu spin. </w:t>
      </w:r>
    </w:p>
    <w:p w14:paraId="7F58EDBF" w14:textId="77777777" w:rsidR="00AA49CD" w:rsidRDefault="00AA49CD" w:rsidP="00AA49CD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46FED">
        <w:rPr>
          <w:rFonts w:ascii="Times New Roman" w:hAnsi="Times New Roman" w:cs="Times New Roman"/>
          <w:sz w:val="20"/>
          <w:szCs w:val="20"/>
        </w:rPr>
        <w:t xml:space="preserve">Dofinansowanie może zostać przyznane na: </w:t>
      </w:r>
    </w:p>
    <w:p w14:paraId="11A5C1E2" w14:textId="77777777" w:rsidR="00AA49CD" w:rsidRDefault="00AA49CD" w:rsidP="00AA49CD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D46FED">
        <w:rPr>
          <w:rFonts w:ascii="Times New Roman" w:hAnsi="Times New Roman" w:cs="Times New Roman"/>
          <w:sz w:val="20"/>
          <w:szCs w:val="20"/>
        </w:rPr>
        <w:t>wykonanie prototypu,</w:t>
      </w:r>
    </w:p>
    <w:p w14:paraId="1F0BBA91" w14:textId="77777777" w:rsidR="00AA49CD" w:rsidRDefault="00AA49CD" w:rsidP="00AA49CD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D46FED">
        <w:rPr>
          <w:rFonts w:ascii="Times New Roman" w:hAnsi="Times New Roman" w:cs="Times New Roman"/>
          <w:sz w:val="20"/>
          <w:szCs w:val="20"/>
        </w:rPr>
        <w:t xml:space="preserve">przeprowadzenie badań typu </w:t>
      </w:r>
      <w:r w:rsidRPr="00D46FED">
        <w:rPr>
          <w:rFonts w:ascii="Times New Roman" w:hAnsi="Times New Roman" w:cs="Times New Roman"/>
          <w:i/>
          <w:sz w:val="20"/>
          <w:szCs w:val="20"/>
        </w:rPr>
        <w:t xml:space="preserve">proof of </w:t>
      </w:r>
      <w:proofErr w:type="spellStart"/>
      <w:r w:rsidRPr="00D46FED">
        <w:rPr>
          <w:rFonts w:ascii="Times New Roman" w:hAnsi="Times New Roman" w:cs="Times New Roman"/>
          <w:i/>
          <w:sz w:val="20"/>
          <w:szCs w:val="20"/>
        </w:rPr>
        <w:t>concept</w:t>
      </w:r>
      <w:proofErr w:type="spellEnd"/>
      <w:r w:rsidRPr="00D46FED">
        <w:rPr>
          <w:rFonts w:ascii="Times New Roman" w:hAnsi="Times New Roman" w:cs="Times New Roman"/>
          <w:i/>
          <w:sz w:val="20"/>
          <w:szCs w:val="20"/>
        </w:rPr>
        <w:t>,</w:t>
      </w:r>
    </w:p>
    <w:p w14:paraId="200120BF" w14:textId="5806C404" w:rsidR="00AA49CD" w:rsidRDefault="00AA49CD" w:rsidP="00AA49CD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D46FED">
        <w:rPr>
          <w:rFonts w:ascii="Times New Roman" w:hAnsi="Times New Roman" w:cs="Times New Roman"/>
          <w:sz w:val="20"/>
          <w:szCs w:val="20"/>
        </w:rPr>
        <w:t xml:space="preserve">weryfikację eksperymentalną cech </w:t>
      </w:r>
      <w:r w:rsidR="009F1FD0">
        <w:rPr>
          <w:rFonts w:ascii="Times New Roman" w:hAnsi="Times New Roman" w:cs="Times New Roman"/>
          <w:sz w:val="20"/>
          <w:szCs w:val="20"/>
        </w:rPr>
        <w:t xml:space="preserve">i badanie użyteczności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D46FED">
        <w:rPr>
          <w:rFonts w:ascii="Times New Roman" w:hAnsi="Times New Roman" w:cs="Times New Roman"/>
          <w:sz w:val="20"/>
          <w:szCs w:val="20"/>
        </w:rPr>
        <w:t>nnowacji</w:t>
      </w:r>
      <w:r w:rsidR="004E37E5">
        <w:rPr>
          <w:rFonts w:ascii="Times New Roman" w:hAnsi="Times New Roman" w:cs="Times New Roman"/>
          <w:sz w:val="20"/>
          <w:szCs w:val="20"/>
        </w:rPr>
        <w:t xml:space="preserve"> z punktu widzenia odbiorcy lub potencjalnego partnera biznesowego zainteresowanego wdrożeniem</w:t>
      </w:r>
      <w:r w:rsidRPr="00D46FED">
        <w:rPr>
          <w:rFonts w:ascii="Times New Roman" w:hAnsi="Times New Roman" w:cs="Times New Roman"/>
          <w:sz w:val="20"/>
          <w:szCs w:val="20"/>
        </w:rPr>
        <w:t>,</w:t>
      </w:r>
    </w:p>
    <w:p w14:paraId="66521195" w14:textId="7B097CF3" w:rsidR="00AA49CD" w:rsidRDefault="00AA49CD" w:rsidP="00AA49CD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D46FED">
        <w:rPr>
          <w:rFonts w:ascii="Times New Roman" w:hAnsi="Times New Roman" w:cs="Times New Roman"/>
          <w:sz w:val="20"/>
          <w:szCs w:val="20"/>
        </w:rPr>
        <w:t>przeprowadzenie innych badań zwiększających potencjał komercyjny Innowacji i umożliwiających oraz optymalizujących proces jej wdrożenia lub zwiększających poziom gotowości do wdrożenia lub możliwość praktycznego zastosowania</w:t>
      </w:r>
      <w:r w:rsidR="00831054">
        <w:rPr>
          <w:rFonts w:ascii="Times New Roman" w:hAnsi="Times New Roman" w:cs="Times New Roman"/>
          <w:sz w:val="20"/>
          <w:szCs w:val="20"/>
        </w:rPr>
        <w:t>, w szczególności stanowiących odpowiedź na pytania zadane przez potencjalnego partnera biznesowego zainteresowanego wdrożeniem,</w:t>
      </w:r>
    </w:p>
    <w:p w14:paraId="757964EE" w14:textId="77777777" w:rsidR="00910155" w:rsidRPr="00203B2C" w:rsidRDefault="00203B2C" w:rsidP="003E2A13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zakup usług eksperckich, w tym analiz i wycen.</w:t>
      </w:r>
    </w:p>
    <w:p w14:paraId="2BE31521" w14:textId="0E9A0D49" w:rsidR="00203B2C" w:rsidRDefault="00ED72D3" w:rsidP="00CF5F79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4B9FE9BB">
        <w:rPr>
          <w:rFonts w:ascii="Times New Roman" w:hAnsi="Times New Roman" w:cs="Times New Roman"/>
          <w:sz w:val="20"/>
          <w:szCs w:val="20"/>
        </w:rPr>
        <w:t xml:space="preserve">W ramach Projektu Innowacja może uzyskać wsparcie </w:t>
      </w:r>
      <w:r w:rsidR="007C59A7" w:rsidRPr="4B9FE9BB">
        <w:rPr>
          <w:rFonts w:ascii="Times New Roman" w:hAnsi="Times New Roman" w:cs="Times New Roman"/>
          <w:sz w:val="20"/>
          <w:szCs w:val="20"/>
        </w:rPr>
        <w:t xml:space="preserve">w wysokości nie większej niż </w:t>
      </w:r>
      <w:r w:rsidR="001B5E79" w:rsidRPr="4B9FE9BB">
        <w:rPr>
          <w:rFonts w:ascii="Times New Roman" w:hAnsi="Times New Roman" w:cs="Times New Roman"/>
          <w:sz w:val="20"/>
          <w:szCs w:val="20"/>
        </w:rPr>
        <w:t xml:space="preserve">80 </w:t>
      </w:r>
      <w:r w:rsidRPr="4B9FE9BB">
        <w:rPr>
          <w:rFonts w:ascii="Times New Roman" w:hAnsi="Times New Roman" w:cs="Times New Roman"/>
          <w:sz w:val="20"/>
          <w:szCs w:val="20"/>
        </w:rPr>
        <w:t>tys. zł</w:t>
      </w:r>
      <w:r w:rsidR="005977B3">
        <w:rPr>
          <w:rFonts w:ascii="Times New Roman" w:hAnsi="Times New Roman" w:cs="Times New Roman"/>
          <w:sz w:val="20"/>
          <w:szCs w:val="20"/>
        </w:rPr>
        <w:t xml:space="preserve">. </w:t>
      </w:r>
      <w:r w:rsidR="00624CA2" w:rsidRPr="4B9FE9BB">
        <w:rPr>
          <w:rFonts w:ascii="Times New Roman" w:hAnsi="Times New Roman" w:cs="Times New Roman"/>
          <w:sz w:val="20"/>
          <w:szCs w:val="20"/>
        </w:rPr>
        <w:t>dla Innowacji UJ i nie większej niż 60 tys. zł dla Innowacji UEK.</w:t>
      </w:r>
      <w:r w:rsidR="001B5E79" w:rsidRPr="4B9FE9BB">
        <w:rPr>
          <w:rFonts w:ascii="Times New Roman" w:hAnsi="Times New Roman" w:cs="Times New Roman"/>
          <w:sz w:val="20"/>
          <w:szCs w:val="20"/>
        </w:rPr>
        <w:t xml:space="preserve"> </w:t>
      </w:r>
      <w:r w:rsidR="00624CA2" w:rsidRPr="4B9FE9BB">
        <w:rPr>
          <w:rFonts w:ascii="Times New Roman" w:hAnsi="Times New Roman" w:cs="Times New Roman"/>
          <w:sz w:val="20"/>
          <w:szCs w:val="20"/>
        </w:rPr>
        <w:t>W</w:t>
      </w:r>
      <w:r w:rsidR="006F33CB" w:rsidRPr="4B9FE9BB">
        <w:rPr>
          <w:rFonts w:ascii="Times New Roman" w:hAnsi="Times New Roman" w:cs="Times New Roman"/>
          <w:sz w:val="20"/>
          <w:szCs w:val="20"/>
        </w:rPr>
        <w:t xml:space="preserve"> uzasadnionych przypadkach </w:t>
      </w:r>
      <w:r w:rsidR="001B5E79" w:rsidRPr="4B9FE9BB">
        <w:rPr>
          <w:rFonts w:ascii="Times New Roman" w:hAnsi="Times New Roman" w:cs="Times New Roman"/>
          <w:sz w:val="20"/>
          <w:szCs w:val="20"/>
        </w:rPr>
        <w:t xml:space="preserve">możliwe </w:t>
      </w:r>
      <w:r w:rsidR="00624CA2" w:rsidRPr="4B9FE9BB">
        <w:rPr>
          <w:rFonts w:ascii="Times New Roman" w:hAnsi="Times New Roman" w:cs="Times New Roman"/>
          <w:sz w:val="20"/>
          <w:szCs w:val="20"/>
        </w:rPr>
        <w:t xml:space="preserve">będzie </w:t>
      </w:r>
      <w:r w:rsidR="001B5E79" w:rsidRPr="4B9FE9BB">
        <w:rPr>
          <w:rFonts w:ascii="Times New Roman" w:hAnsi="Times New Roman" w:cs="Times New Roman"/>
          <w:sz w:val="20"/>
          <w:szCs w:val="20"/>
        </w:rPr>
        <w:t xml:space="preserve">zwiększenie wartości dofinansowania do 100 tys. zł </w:t>
      </w:r>
      <w:r w:rsidR="00624CA2" w:rsidRPr="4B9FE9BB">
        <w:rPr>
          <w:rFonts w:ascii="Times New Roman" w:hAnsi="Times New Roman" w:cs="Times New Roman"/>
          <w:sz w:val="20"/>
          <w:szCs w:val="20"/>
        </w:rPr>
        <w:t xml:space="preserve">netto (dla Innowacji UJ) </w:t>
      </w:r>
      <w:r w:rsidR="001B5E79" w:rsidRPr="4B9FE9BB">
        <w:rPr>
          <w:rFonts w:ascii="Times New Roman" w:hAnsi="Times New Roman" w:cs="Times New Roman"/>
          <w:sz w:val="20"/>
          <w:szCs w:val="20"/>
        </w:rPr>
        <w:t xml:space="preserve">za uprzednią zgodą Dyrektora </w:t>
      </w:r>
      <w:r w:rsidR="001B5E79" w:rsidRPr="4B9FE9BB">
        <w:rPr>
          <w:rFonts w:ascii="Times New Roman" w:hAnsi="Times New Roman" w:cs="Times New Roman"/>
          <w:sz w:val="20"/>
          <w:szCs w:val="20"/>
        </w:rPr>
        <w:lastRenderedPageBreak/>
        <w:t xml:space="preserve">CTT CITTRU (dalej: </w:t>
      </w:r>
      <w:r w:rsidR="001B5E79" w:rsidRPr="4B9FE9BB">
        <w:rPr>
          <w:rFonts w:ascii="Times New Roman" w:hAnsi="Times New Roman" w:cs="Times New Roman"/>
          <w:b/>
          <w:bCs/>
          <w:sz w:val="20"/>
          <w:szCs w:val="20"/>
        </w:rPr>
        <w:t>Dyrektor</w:t>
      </w:r>
      <w:r w:rsidR="001B5E79" w:rsidRPr="4B9FE9BB">
        <w:rPr>
          <w:rFonts w:ascii="Times New Roman" w:hAnsi="Times New Roman" w:cs="Times New Roman"/>
          <w:sz w:val="20"/>
          <w:szCs w:val="20"/>
        </w:rPr>
        <w:t>)</w:t>
      </w:r>
      <w:r w:rsidR="003E2A13" w:rsidRPr="4B9FE9BB">
        <w:rPr>
          <w:rFonts w:ascii="Times New Roman" w:hAnsi="Times New Roman" w:cs="Times New Roman"/>
          <w:sz w:val="20"/>
          <w:szCs w:val="20"/>
        </w:rPr>
        <w:t xml:space="preserve"> lub </w:t>
      </w:r>
      <w:r w:rsidR="00624CA2" w:rsidRPr="4B9FE9BB">
        <w:rPr>
          <w:rFonts w:ascii="Times New Roman" w:hAnsi="Times New Roman" w:cs="Times New Roman"/>
          <w:sz w:val="20"/>
          <w:szCs w:val="20"/>
        </w:rPr>
        <w:t xml:space="preserve">do 80 tys. zł </w:t>
      </w:r>
      <w:r w:rsidR="00C31BED" w:rsidRPr="4B9FE9BB">
        <w:rPr>
          <w:rFonts w:ascii="Times New Roman" w:hAnsi="Times New Roman" w:cs="Times New Roman"/>
          <w:sz w:val="20"/>
          <w:szCs w:val="20"/>
        </w:rPr>
        <w:t>brutto</w:t>
      </w:r>
      <w:r w:rsidR="00624CA2" w:rsidRPr="4B9FE9BB">
        <w:rPr>
          <w:rFonts w:ascii="Times New Roman" w:hAnsi="Times New Roman" w:cs="Times New Roman"/>
          <w:sz w:val="20"/>
          <w:szCs w:val="20"/>
        </w:rPr>
        <w:t xml:space="preserve"> (dla Innowacji UEK) za uprzednią </w:t>
      </w:r>
      <w:r w:rsidR="00AE0C06">
        <w:rPr>
          <w:rFonts w:ascii="Times New Roman" w:hAnsi="Times New Roman" w:cs="Times New Roman"/>
          <w:sz w:val="20"/>
          <w:szCs w:val="20"/>
        </w:rPr>
        <w:t xml:space="preserve">zgodą </w:t>
      </w:r>
      <w:r w:rsidR="00CF5F79" w:rsidRPr="4B9FE9BB">
        <w:rPr>
          <w:rFonts w:ascii="Times New Roman" w:hAnsi="Times New Roman" w:cs="Times New Roman"/>
          <w:sz w:val="20"/>
          <w:szCs w:val="20"/>
        </w:rPr>
        <w:t xml:space="preserve">Prorektora ds. </w:t>
      </w:r>
      <w:r w:rsidR="3805BEDA" w:rsidRPr="4B9FE9BB">
        <w:rPr>
          <w:rFonts w:ascii="Times New Roman" w:hAnsi="Times New Roman" w:cs="Times New Roman"/>
          <w:sz w:val="20"/>
          <w:szCs w:val="20"/>
        </w:rPr>
        <w:t>Projektów i Współpracy</w:t>
      </w:r>
      <w:r w:rsidR="00CF5F79" w:rsidRPr="4B9FE9BB">
        <w:rPr>
          <w:rFonts w:ascii="Times New Roman" w:hAnsi="Times New Roman" w:cs="Times New Roman"/>
          <w:sz w:val="20"/>
          <w:szCs w:val="20"/>
        </w:rPr>
        <w:t xml:space="preserve"> UEK (dalej: </w:t>
      </w:r>
      <w:r w:rsidR="00CF5F79" w:rsidRPr="4B9FE9BB">
        <w:rPr>
          <w:rFonts w:ascii="Times New Roman" w:hAnsi="Times New Roman" w:cs="Times New Roman"/>
          <w:b/>
          <w:bCs/>
          <w:sz w:val="20"/>
          <w:szCs w:val="20"/>
        </w:rPr>
        <w:t>Prorektor</w:t>
      </w:r>
      <w:r w:rsidR="00CF5F79" w:rsidRPr="4B9FE9BB">
        <w:rPr>
          <w:rFonts w:ascii="Times New Roman" w:hAnsi="Times New Roman" w:cs="Times New Roman"/>
          <w:sz w:val="20"/>
          <w:szCs w:val="20"/>
        </w:rPr>
        <w:t>)</w:t>
      </w:r>
      <w:r w:rsidR="00AE0C06">
        <w:rPr>
          <w:rFonts w:ascii="Times New Roman" w:hAnsi="Times New Roman" w:cs="Times New Roman"/>
          <w:sz w:val="20"/>
          <w:szCs w:val="20"/>
        </w:rPr>
        <w:t xml:space="preserve"> lub osoby p</w:t>
      </w:r>
      <w:r w:rsidR="005B63BB">
        <w:rPr>
          <w:rFonts w:ascii="Times New Roman" w:hAnsi="Times New Roman" w:cs="Times New Roman"/>
          <w:sz w:val="20"/>
          <w:szCs w:val="20"/>
        </w:rPr>
        <w:t>rzez niego wskazanej</w:t>
      </w:r>
      <w:r w:rsidR="00CF5F79" w:rsidRPr="4B9FE9BB">
        <w:rPr>
          <w:rFonts w:ascii="Times New Roman" w:hAnsi="Times New Roman" w:cs="Times New Roman"/>
          <w:sz w:val="20"/>
          <w:szCs w:val="20"/>
        </w:rPr>
        <w:t>.</w:t>
      </w:r>
      <w:r w:rsidR="00872731">
        <w:rPr>
          <w:rFonts w:ascii="Times New Roman" w:hAnsi="Times New Roman" w:cs="Times New Roman"/>
          <w:sz w:val="20"/>
          <w:szCs w:val="20"/>
        </w:rPr>
        <w:t xml:space="preserve"> </w:t>
      </w:r>
      <w:r w:rsidR="000F529D">
        <w:rPr>
          <w:rFonts w:ascii="Times New Roman" w:hAnsi="Times New Roman" w:cs="Times New Roman"/>
          <w:sz w:val="20"/>
          <w:szCs w:val="20"/>
        </w:rPr>
        <w:t xml:space="preserve">Warunkiem uzyskania dodatkowego dofinansowania jest dostępność środków oraz </w:t>
      </w:r>
      <w:r w:rsidR="00C41170">
        <w:rPr>
          <w:rFonts w:ascii="Times New Roman" w:hAnsi="Times New Roman" w:cs="Times New Roman"/>
          <w:sz w:val="20"/>
          <w:szCs w:val="20"/>
        </w:rPr>
        <w:t>wniosek złożony do Dyrektora lub Prorektora</w:t>
      </w:r>
      <w:r w:rsidR="007B46C9">
        <w:rPr>
          <w:rFonts w:ascii="Times New Roman" w:hAnsi="Times New Roman" w:cs="Times New Roman"/>
          <w:sz w:val="20"/>
          <w:szCs w:val="20"/>
        </w:rPr>
        <w:t>,</w:t>
      </w:r>
      <w:r w:rsidR="00C41170">
        <w:rPr>
          <w:rFonts w:ascii="Times New Roman" w:hAnsi="Times New Roman" w:cs="Times New Roman"/>
          <w:sz w:val="20"/>
          <w:szCs w:val="20"/>
        </w:rPr>
        <w:t xml:space="preserve"> z którego wynikać będzie zasadność </w:t>
      </w:r>
      <w:r w:rsidR="004E0813">
        <w:rPr>
          <w:rFonts w:ascii="Times New Roman" w:hAnsi="Times New Roman" w:cs="Times New Roman"/>
          <w:sz w:val="20"/>
          <w:szCs w:val="20"/>
        </w:rPr>
        <w:t>przyznawania</w:t>
      </w:r>
      <w:r w:rsidR="00C41170">
        <w:rPr>
          <w:rFonts w:ascii="Times New Roman" w:hAnsi="Times New Roman" w:cs="Times New Roman"/>
          <w:sz w:val="20"/>
          <w:szCs w:val="20"/>
        </w:rPr>
        <w:t xml:space="preserve"> dodatkowych </w:t>
      </w:r>
      <w:r w:rsidR="004E0813">
        <w:rPr>
          <w:rFonts w:ascii="Times New Roman" w:hAnsi="Times New Roman" w:cs="Times New Roman"/>
          <w:sz w:val="20"/>
          <w:szCs w:val="20"/>
        </w:rPr>
        <w:t>środków</w:t>
      </w:r>
      <w:r w:rsidR="007B46C9">
        <w:rPr>
          <w:rFonts w:ascii="Times New Roman" w:hAnsi="Times New Roman" w:cs="Times New Roman"/>
          <w:sz w:val="20"/>
          <w:szCs w:val="20"/>
        </w:rPr>
        <w:t xml:space="preserve"> w szczególności</w:t>
      </w:r>
      <w:r w:rsidR="00C41170">
        <w:rPr>
          <w:rFonts w:ascii="Times New Roman" w:hAnsi="Times New Roman" w:cs="Times New Roman"/>
          <w:sz w:val="20"/>
          <w:szCs w:val="20"/>
        </w:rPr>
        <w:t xml:space="preserve"> po</w:t>
      </w:r>
      <w:r w:rsidR="004E0813">
        <w:rPr>
          <w:rFonts w:ascii="Times New Roman" w:hAnsi="Times New Roman" w:cs="Times New Roman"/>
          <w:sz w:val="20"/>
          <w:szCs w:val="20"/>
        </w:rPr>
        <w:t>p</w:t>
      </w:r>
      <w:r w:rsidR="00C41170">
        <w:rPr>
          <w:rFonts w:ascii="Times New Roman" w:hAnsi="Times New Roman" w:cs="Times New Roman"/>
          <w:sz w:val="20"/>
          <w:szCs w:val="20"/>
        </w:rPr>
        <w:t xml:space="preserve">arta </w:t>
      </w:r>
      <w:r w:rsidR="00753520">
        <w:rPr>
          <w:rFonts w:ascii="Times New Roman" w:hAnsi="Times New Roman" w:cs="Times New Roman"/>
          <w:sz w:val="20"/>
          <w:szCs w:val="20"/>
        </w:rPr>
        <w:t xml:space="preserve">bieżącą </w:t>
      </w:r>
      <w:r w:rsidR="007B46C9">
        <w:rPr>
          <w:rFonts w:ascii="Times New Roman" w:hAnsi="Times New Roman" w:cs="Times New Roman"/>
          <w:sz w:val="20"/>
          <w:szCs w:val="20"/>
        </w:rPr>
        <w:t xml:space="preserve">potrzebą dostarczenia konkretnych wyników/rezultatów dla potencjalnego licencjobiorcy/inwestora. </w:t>
      </w:r>
    </w:p>
    <w:p w14:paraId="721A9303" w14:textId="77777777" w:rsidR="00F0705B" w:rsidRDefault="00F0705B" w:rsidP="00F0705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0125F6" w14:textId="1B8E1406" w:rsidR="00F0705B" w:rsidRPr="009813F8" w:rsidRDefault="0046289D" w:rsidP="009813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3F8">
        <w:rPr>
          <w:rFonts w:ascii="Times New Roman" w:hAnsi="Times New Roman" w:cs="Times New Roman"/>
          <w:b/>
          <w:bCs/>
          <w:sz w:val="24"/>
          <w:szCs w:val="24"/>
        </w:rPr>
        <w:t xml:space="preserve">II. Tryb składania i kwalifikacji </w:t>
      </w:r>
      <w:r w:rsidR="00222C6B" w:rsidRPr="009813F8">
        <w:rPr>
          <w:rFonts w:ascii="Times New Roman" w:hAnsi="Times New Roman" w:cs="Times New Roman"/>
          <w:b/>
          <w:bCs/>
          <w:sz w:val="24"/>
          <w:szCs w:val="24"/>
        </w:rPr>
        <w:t>wniosków wraz z terminami</w:t>
      </w:r>
    </w:p>
    <w:p w14:paraId="3C0E1E19" w14:textId="3EE20C07" w:rsidR="00D05643" w:rsidRPr="009813F8" w:rsidRDefault="00D05643" w:rsidP="009813F8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3E27B689">
        <w:rPr>
          <w:rFonts w:ascii="Times New Roman" w:hAnsi="Times New Roman" w:cs="Times New Roman"/>
          <w:b w:val="0"/>
          <w:sz w:val="20"/>
          <w:szCs w:val="20"/>
        </w:rPr>
        <w:t>Wzór wniosku stanowi Załącznik nr 1 (dla Innowacji UJ) lub Załącznik nr 2 (dla Innowacji UEK).</w:t>
      </w:r>
    </w:p>
    <w:p w14:paraId="41AE4D48" w14:textId="46FC5DAB" w:rsidR="00ED72D3" w:rsidRPr="00910155" w:rsidRDefault="00ED72D3" w:rsidP="009813F8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3E27B689">
        <w:rPr>
          <w:rFonts w:ascii="Times New Roman" w:hAnsi="Times New Roman" w:cs="Times New Roman"/>
          <w:sz w:val="20"/>
          <w:szCs w:val="20"/>
        </w:rPr>
        <w:t xml:space="preserve">Decyzje dotyczące wsparcia Innowacji są podejmowane przez Radę Inwestycyjną (dalej: </w:t>
      </w:r>
      <w:r w:rsidRPr="3E27B689">
        <w:rPr>
          <w:rFonts w:ascii="Times New Roman" w:hAnsi="Times New Roman" w:cs="Times New Roman"/>
          <w:b/>
          <w:bCs/>
          <w:sz w:val="20"/>
          <w:szCs w:val="20"/>
        </w:rPr>
        <w:t>Rada</w:t>
      </w:r>
      <w:r w:rsidRPr="3E27B689">
        <w:rPr>
          <w:rFonts w:ascii="Times New Roman" w:hAnsi="Times New Roman" w:cs="Times New Roman"/>
          <w:sz w:val="20"/>
          <w:szCs w:val="20"/>
        </w:rPr>
        <w:t>), której skład, kompetencje oraz tryb pracy są określone w odrębnym regulaminie.</w:t>
      </w:r>
      <w:r w:rsidR="00A46A2B" w:rsidRPr="3E27B689">
        <w:rPr>
          <w:rFonts w:ascii="Times New Roman" w:hAnsi="Times New Roman" w:cs="Times New Roman"/>
          <w:sz w:val="20"/>
          <w:szCs w:val="20"/>
        </w:rPr>
        <w:t xml:space="preserve"> Decyzje podejmowane są na podstawie wniosków, o których mowa w pkt </w:t>
      </w:r>
      <w:r w:rsidR="00F77239" w:rsidRPr="3E27B689">
        <w:rPr>
          <w:rFonts w:ascii="Times New Roman" w:hAnsi="Times New Roman" w:cs="Times New Roman"/>
          <w:sz w:val="20"/>
          <w:szCs w:val="20"/>
        </w:rPr>
        <w:t>II.1.</w:t>
      </w:r>
      <w:r w:rsidR="00A46A2B" w:rsidRPr="3E27B689">
        <w:rPr>
          <w:rFonts w:ascii="Times New Roman" w:hAnsi="Times New Roman" w:cs="Times New Roman"/>
          <w:sz w:val="20"/>
          <w:szCs w:val="20"/>
        </w:rPr>
        <w:t xml:space="preserve"> oraz </w:t>
      </w:r>
      <w:r w:rsidR="00203B2C" w:rsidRPr="3E27B689">
        <w:rPr>
          <w:rFonts w:ascii="Times New Roman" w:hAnsi="Times New Roman" w:cs="Times New Roman"/>
          <w:sz w:val="20"/>
          <w:szCs w:val="20"/>
        </w:rPr>
        <w:t>po za</w:t>
      </w:r>
      <w:r w:rsidR="00A46A2B" w:rsidRPr="3E27B689">
        <w:rPr>
          <w:rFonts w:ascii="Times New Roman" w:hAnsi="Times New Roman" w:cs="Times New Roman"/>
          <w:sz w:val="20"/>
          <w:szCs w:val="20"/>
        </w:rPr>
        <w:t>prezent</w:t>
      </w:r>
      <w:r w:rsidR="00203B2C" w:rsidRPr="3E27B689">
        <w:rPr>
          <w:rFonts w:ascii="Times New Roman" w:hAnsi="Times New Roman" w:cs="Times New Roman"/>
          <w:sz w:val="20"/>
          <w:szCs w:val="20"/>
        </w:rPr>
        <w:t>owaniu</w:t>
      </w:r>
      <w:r w:rsidR="00A46A2B" w:rsidRPr="3E27B689">
        <w:rPr>
          <w:rFonts w:ascii="Times New Roman" w:hAnsi="Times New Roman" w:cs="Times New Roman"/>
          <w:sz w:val="20"/>
          <w:szCs w:val="20"/>
        </w:rPr>
        <w:t xml:space="preserve"> Innowacji </w:t>
      </w:r>
      <w:r w:rsidR="00203B2C" w:rsidRPr="3E27B689">
        <w:rPr>
          <w:rFonts w:ascii="Times New Roman" w:hAnsi="Times New Roman" w:cs="Times New Roman"/>
          <w:sz w:val="20"/>
          <w:szCs w:val="20"/>
        </w:rPr>
        <w:t xml:space="preserve">i </w:t>
      </w:r>
      <w:r w:rsidR="00804EDC" w:rsidRPr="3E27B689">
        <w:rPr>
          <w:rFonts w:ascii="Times New Roman" w:hAnsi="Times New Roman" w:cs="Times New Roman"/>
          <w:sz w:val="20"/>
          <w:szCs w:val="20"/>
        </w:rPr>
        <w:t xml:space="preserve">planowanych działań </w:t>
      </w:r>
      <w:r w:rsidR="00A46A2B" w:rsidRPr="3E27B689">
        <w:rPr>
          <w:rFonts w:ascii="Times New Roman" w:hAnsi="Times New Roman" w:cs="Times New Roman"/>
          <w:sz w:val="20"/>
          <w:szCs w:val="20"/>
        </w:rPr>
        <w:t>przez przedstawiciela zespołu badawczego UJ</w:t>
      </w:r>
      <w:r w:rsidR="00203B2C" w:rsidRPr="3E27B689">
        <w:rPr>
          <w:rFonts w:ascii="Times New Roman" w:hAnsi="Times New Roman" w:cs="Times New Roman"/>
          <w:sz w:val="20"/>
          <w:szCs w:val="20"/>
        </w:rPr>
        <w:t xml:space="preserve"> i</w:t>
      </w:r>
      <w:r w:rsidR="00767A1F">
        <w:rPr>
          <w:rFonts w:ascii="Times New Roman" w:hAnsi="Times New Roman" w:cs="Times New Roman"/>
          <w:sz w:val="20"/>
          <w:szCs w:val="20"/>
        </w:rPr>
        <w:t>/lub</w:t>
      </w:r>
      <w:r w:rsidR="00910155" w:rsidRPr="3E27B689">
        <w:rPr>
          <w:rFonts w:ascii="Times New Roman" w:hAnsi="Times New Roman" w:cs="Times New Roman"/>
          <w:sz w:val="20"/>
          <w:szCs w:val="20"/>
        </w:rPr>
        <w:t xml:space="preserve"> </w:t>
      </w:r>
      <w:r w:rsidR="00A46A2B" w:rsidRPr="3E27B689">
        <w:rPr>
          <w:rFonts w:ascii="Times New Roman" w:hAnsi="Times New Roman" w:cs="Times New Roman"/>
          <w:sz w:val="20"/>
          <w:szCs w:val="20"/>
        </w:rPr>
        <w:t>właściwego Brokera CTT CITTRU</w:t>
      </w:r>
      <w:r w:rsidR="002E5951" w:rsidRPr="3E27B689">
        <w:rPr>
          <w:rFonts w:ascii="Times New Roman" w:hAnsi="Times New Roman" w:cs="Times New Roman"/>
          <w:sz w:val="20"/>
          <w:szCs w:val="20"/>
        </w:rPr>
        <w:t xml:space="preserve"> (dla Innowacji UJ) lub przedstawiciela zespołu badawczego UEK i</w:t>
      </w:r>
      <w:r w:rsidR="00767A1F">
        <w:rPr>
          <w:rFonts w:ascii="Times New Roman" w:hAnsi="Times New Roman" w:cs="Times New Roman"/>
          <w:sz w:val="20"/>
          <w:szCs w:val="20"/>
        </w:rPr>
        <w:t xml:space="preserve">/lub </w:t>
      </w:r>
      <w:r w:rsidR="002E5951" w:rsidRPr="3E27B689">
        <w:rPr>
          <w:rFonts w:ascii="Times New Roman" w:hAnsi="Times New Roman" w:cs="Times New Roman"/>
          <w:sz w:val="20"/>
          <w:szCs w:val="20"/>
        </w:rPr>
        <w:t xml:space="preserve">przedstawiciela </w:t>
      </w:r>
      <w:proofErr w:type="spellStart"/>
      <w:r w:rsidR="002E5951" w:rsidRPr="3E27B689">
        <w:rPr>
          <w:rFonts w:ascii="Times New Roman" w:hAnsi="Times New Roman" w:cs="Times New Roman"/>
          <w:sz w:val="20"/>
          <w:szCs w:val="20"/>
        </w:rPr>
        <w:t>DTWiP</w:t>
      </w:r>
      <w:proofErr w:type="spellEnd"/>
      <w:r w:rsidR="002E5951" w:rsidRPr="3E27B689">
        <w:rPr>
          <w:rFonts w:ascii="Times New Roman" w:hAnsi="Times New Roman" w:cs="Times New Roman"/>
          <w:sz w:val="20"/>
          <w:szCs w:val="20"/>
        </w:rPr>
        <w:t xml:space="preserve"> (dla Innowacji UEK)</w:t>
      </w:r>
      <w:r w:rsidR="00EA1BB0" w:rsidRPr="3E27B689">
        <w:rPr>
          <w:rFonts w:ascii="Times New Roman" w:hAnsi="Times New Roman" w:cs="Times New Roman"/>
          <w:sz w:val="20"/>
          <w:szCs w:val="20"/>
        </w:rPr>
        <w:t>, z uwzględnieniem planów założenia spółki typu spin</w:t>
      </w:r>
      <w:r w:rsidR="00A46A2B" w:rsidRPr="3E27B689">
        <w:rPr>
          <w:rFonts w:ascii="Times New Roman" w:hAnsi="Times New Roman" w:cs="Times New Roman"/>
          <w:sz w:val="20"/>
          <w:szCs w:val="20"/>
        </w:rPr>
        <w:t>. Prezentacja odbywa się przed</w:t>
      </w:r>
      <w:r w:rsidR="002E5951" w:rsidRPr="3E27B689">
        <w:rPr>
          <w:rFonts w:ascii="Times New Roman" w:hAnsi="Times New Roman" w:cs="Times New Roman"/>
          <w:sz w:val="20"/>
          <w:szCs w:val="20"/>
        </w:rPr>
        <w:t xml:space="preserve"> </w:t>
      </w:r>
      <w:r w:rsidR="00A46A2B" w:rsidRPr="3E27B689">
        <w:rPr>
          <w:rFonts w:ascii="Times New Roman" w:hAnsi="Times New Roman" w:cs="Times New Roman"/>
          <w:sz w:val="20"/>
          <w:szCs w:val="20"/>
        </w:rPr>
        <w:t>Radą</w:t>
      </w:r>
      <w:r w:rsidR="002E5951" w:rsidRPr="3E27B689">
        <w:rPr>
          <w:rFonts w:ascii="Times New Roman" w:hAnsi="Times New Roman" w:cs="Times New Roman"/>
          <w:sz w:val="20"/>
          <w:szCs w:val="20"/>
        </w:rPr>
        <w:t xml:space="preserve">, </w:t>
      </w:r>
      <w:r w:rsidR="00033398" w:rsidRPr="3E27B689">
        <w:rPr>
          <w:rFonts w:ascii="Times New Roman" w:hAnsi="Times New Roman" w:cs="Times New Roman"/>
          <w:sz w:val="20"/>
          <w:szCs w:val="20"/>
        </w:rPr>
        <w:t xml:space="preserve">Dyrektorem, </w:t>
      </w:r>
      <w:r w:rsidR="002E5951" w:rsidRPr="3E27B689">
        <w:rPr>
          <w:rFonts w:ascii="Times New Roman" w:hAnsi="Times New Roman" w:cs="Times New Roman"/>
          <w:sz w:val="20"/>
          <w:szCs w:val="20"/>
        </w:rPr>
        <w:t xml:space="preserve">Prezesem </w:t>
      </w:r>
      <w:proofErr w:type="spellStart"/>
      <w:r w:rsidR="00CF67AB" w:rsidRPr="3E27B689">
        <w:rPr>
          <w:rFonts w:ascii="Times New Roman" w:hAnsi="Times New Roman" w:cs="Times New Roman"/>
          <w:sz w:val="20"/>
          <w:szCs w:val="20"/>
        </w:rPr>
        <w:t>InnoCel</w:t>
      </w:r>
      <w:proofErr w:type="spellEnd"/>
      <w:r w:rsidR="00CF67AB" w:rsidRPr="3E27B689">
        <w:rPr>
          <w:rFonts w:ascii="Times New Roman" w:hAnsi="Times New Roman" w:cs="Times New Roman"/>
          <w:sz w:val="20"/>
          <w:szCs w:val="20"/>
        </w:rPr>
        <w:t xml:space="preserve"> </w:t>
      </w:r>
      <w:r w:rsidR="00033398" w:rsidRPr="3E27B689">
        <w:rPr>
          <w:rFonts w:ascii="Times New Roman" w:hAnsi="Times New Roman" w:cs="Times New Roman"/>
          <w:sz w:val="20"/>
          <w:szCs w:val="20"/>
        </w:rPr>
        <w:t xml:space="preserve">(dalej: </w:t>
      </w:r>
      <w:r w:rsidR="00033398" w:rsidRPr="3E27B689">
        <w:rPr>
          <w:rFonts w:ascii="Times New Roman" w:hAnsi="Times New Roman" w:cs="Times New Roman"/>
          <w:b/>
          <w:bCs/>
          <w:sz w:val="20"/>
          <w:szCs w:val="20"/>
        </w:rPr>
        <w:t>Prezes</w:t>
      </w:r>
      <w:r w:rsidR="00033398" w:rsidRPr="3E27B689">
        <w:rPr>
          <w:rFonts w:ascii="Times New Roman" w:hAnsi="Times New Roman" w:cs="Times New Roman"/>
          <w:sz w:val="20"/>
          <w:szCs w:val="20"/>
        </w:rPr>
        <w:t>) i reprezentantem</w:t>
      </w:r>
      <w:r w:rsidR="002E5951" w:rsidRPr="3E27B689">
        <w:rPr>
          <w:rFonts w:ascii="Times New Roman" w:hAnsi="Times New Roman" w:cs="Times New Roman"/>
          <w:sz w:val="20"/>
          <w:szCs w:val="20"/>
        </w:rPr>
        <w:t xml:space="preserve"> UEK </w:t>
      </w:r>
      <w:r w:rsidR="00A46A2B" w:rsidRPr="3E27B689">
        <w:rPr>
          <w:rFonts w:ascii="Times New Roman" w:hAnsi="Times New Roman" w:cs="Times New Roman"/>
          <w:sz w:val="20"/>
          <w:szCs w:val="20"/>
        </w:rPr>
        <w:t>w terminie</w:t>
      </w:r>
      <w:r w:rsidR="03BA3CAA" w:rsidRPr="3E27B689">
        <w:rPr>
          <w:rFonts w:ascii="Times New Roman" w:hAnsi="Times New Roman" w:cs="Times New Roman"/>
          <w:sz w:val="20"/>
          <w:szCs w:val="20"/>
        </w:rPr>
        <w:t>,</w:t>
      </w:r>
      <w:r w:rsidR="275C8B5B" w:rsidRPr="3E27B689">
        <w:rPr>
          <w:rFonts w:ascii="Times New Roman" w:hAnsi="Times New Roman" w:cs="Times New Roman"/>
          <w:sz w:val="20"/>
          <w:szCs w:val="20"/>
        </w:rPr>
        <w:t xml:space="preserve"> </w:t>
      </w:r>
      <w:r w:rsidR="00910155" w:rsidRPr="3E27B689">
        <w:rPr>
          <w:rFonts w:ascii="Times New Roman" w:hAnsi="Times New Roman" w:cs="Times New Roman"/>
          <w:sz w:val="20"/>
          <w:szCs w:val="20"/>
        </w:rPr>
        <w:t xml:space="preserve">miejscu </w:t>
      </w:r>
      <w:r w:rsidR="63FB5F87" w:rsidRPr="3E27B689">
        <w:rPr>
          <w:rFonts w:ascii="Times New Roman" w:hAnsi="Times New Roman" w:cs="Times New Roman"/>
          <w:sz w:val="20"/>
          <w:szCs w:val="20"/>
        </w:rPr>
        <w:t xml:space="preserve">i trybie </w:t>
      </w:r>
      <w:r w:rsidR="00A46A2B" w:rsidRPr="3E27B689">
        <w:rPr>
          <w:rFonts w:ascii="Times New Roman" w:hAnsi="Times New Roman" w:cs="Times New Roman"/>
          <w:sz w:val="20"/>
          <w:szCs w:val="20"/>
        </w:rPr>
        <w:t>wyznaczonym przez Dyrektora</w:t>
      </w:r>
      <w:r w:rsidR="19777BC1" w:rsidRPr="3E27B689">
        <w:rPr>
          <w:rFonts w:ascii="Times New Roman" w:hAnsi="Times New Roman" w:cs="Times New Roman"/>
          <w:sz w:val="20"/>
          <w:szCs w:val="20"/>
        </w:rPr>
        <w:t xml:space="preserve">, przy czym może on określić, iż </w:t>
      </w:r>
      <w:r w:rsidR="00BF1B06" w:rsidRPr="3E27B689">
        <w:rPr>
          <w:rFonts w:ascii="Times New Roman" w:hAnsi="Times New Roman" w:cs="Times New Roman"/>
          <w:sz w:val="20"/>
          <w:szCs w:val="20"/>
        </w:rPr>
        <w:t>prezentacja</w:t>
      </w:r>
      <w:r w:rsidR="19777BC1" w:rsidRPr="3E27B689">
        <w:rPr>
          <w:rFonts w:ascii="Times New Roman" w:hAnsi="Times New Roman" w:cs="Times New Roman"/>
          <w:sz w:val="20"/>
          <w:szCs w:val="20"/>
        </w:rPr>
        <w:t xml:space="preserve"> będzie się odbywać w trybie zdalnym</w:t>
      </w:r>
      <w:r w:rsidR="00A46A2B" w:rsidRPr="3E27B689">
        <w:rPr>
          <w:rFonts w:ascii="Times New Roman" w:hAnsi="Times New Roman" w:cs="Times New Roman"/>
          <w:sz w:val="20"/>
          <w:szCs w:val="20"/>
        </w:rPr>
        <w:t>.</w:t>
      </w:r>
      <w:r w:rsidR="00033398" w:rsidRPr="3E27B689">
        <w:rPr>
          <w:rFonts w:ascii="Times New Roman" w:hAnsi="Times New Roman" w:cs="Times New Roman"/>
          <w:sz w:val="20"/>
          <w:szCs w:val="20"/>
        </w:rPr>
        <w:t xml:space="preserve"> Dyrektor, Prezes i reprezentant UEK pełnią funkcję doradczą bez prawa głosu.</w:t>
      </w:r>
    </w:p>
    <w:p w14:paraId="56D7A922" w14:textId="32AEB2BC" w:rsidR="00ED72D3" w:rsidRDefault="00ED72D3" w:rsidP="009813F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3E27B689">
        <w:rPr>
          <w:rFonts w:ascii="Times New Roman" w:hAnsi="Times New Roman" w:cs="Times New Roman"/>
          <w:sz w:val="20"/>
          <w:szCs w:val="20"/>
        </w:rPr>
        <w:t>Koszty kwalifikowane w ramach dofinansowania obejmują następujące kategorie wydatków</w:t>
      </w:r>
      <w:r w:rsidR="00767A1F">
        <w:rPr>
          <w:rFonts w:ascii="Times New Roman" w:hAnsi="Times New Roman" w:cs="Times New Roman"/>
          <w:sz w:val="20"/>
          <w:szCs w:val="20"/>
        </w:rPr>
        <w:t xml:space="preserve"> – co do zasady są to koszty netto za wyjątkiem kategorii wynagrodzenia</w:t>
      </w:r>
      <w:r w:rsidRPr="3E27B689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A805F5C" w14:textId="205C8D1B" w:rsidR="00ED72D3" w:rsidRDefault="00ED72D3" w:rsidP="009813F8">
      <w:pPr>
        <w:numPr>
          <w:ilvl w:val="1"/>
          <w:numId w:val="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664705">
        <w:rPr>
          <w:rFonts w:ascii="Times New Roman" w:hAnsi="Times New Roman" w:cs="Times New Roman"/>
          <w:sz w:val="20"/>
          <w:szCs w:val="20"/>
        </w:rPr>
        <w:t xml:space="preserve">Wynagrodzenia osób zaangażowanych bezpośrednio w realizację </w:t>
      </w:r>
      <w:r>
        <w:rPr>
          <w:rFonts w:ascii="Times New Roman" w:hAnsi="Times New Roman" w:cs="Times New Roman"/>
          <w:sz w:val="20"/>
          <w:szCs w:val="20"/>
        </w:rPr>
        <w:t xml:space="preserve">prac przedwdrożeniowych </w:t>
      </w:r>
      <w:r w:rsidRPr="00664705">
        <w:rPr>
          <w:rFonts w:ascii="Times New Roman" w:hAnsi="Times New Roman" w:cs="Times New Roman"/>
          <w:sz w:val="20"/>
          <w:szCs w:val="20"/>
        </w:rPr>
        <w:t>objęt</w:t>
      </w:r>
      <w:r>
        <w:rPr>
          <w:rFonts w:ascii="Times New Roman" w:hAnsi="Times New Roman" w:cs="Times New Roman"/>
          <w:sz w:val="20"/>
          <w:szCs w:val="20"/>
        </w:rPr>
        <w:t xml:space="preserve">ych </w:t>
      </w:r>
      <w:r w:rsidRPr="00664705">
        <w:rPr>
          <w:rFonts w:ascii="Times New Roman" w:hAnsi="Times New Roman" w:cs="Times New Roman"/>
          <w:sz w:val="20"/>
          <w:szCs w:val="20"/>
        </w:rPr>
        <w:t>wsparciem (personel badawczo-naukowy, techniczny i pomocniczy</w:t>
      </w:r>
      <w:r w:rsidR="00393E03">
        <w:rPr>
          <w:rFonts w:ascii="Times New Roman" w:hAnsi="Times New Roman" w:cs="Times New Roman"/>
          <w:sz w:val="20"/>
          <w:szCs w:val="20"/>
        </w:rPr>
        <w:t xml:space="preserve"> oraz</w:t>
      </w:r>
      <w:r w:rsidR="00816ACD">
        <w:rPr>
          <w:rFonts w:ascii="Times New Roman" w:hAnsi="Times New Roman" w:cs="Times New Roman"/>
          <w:sz w:val="20"/>
          <w:szCs w:val="20"/>
        </w:rPr>
        <w:t xml:space="preserve"> osoby </w:t>
      </w:r>
      <w:r w:rsidR="00001F39">
        <w:rPr>
          <w:rFonts w:ascii="Times New Roman" w:hAnsi="Times New Roman" w:cs="Times New Roman"/>
          <w:sz w:val="20"/>
          <w:szCs w:val="20"/>
        </w:rPr>
        <w:t>objęte/uczestniczące w badania</w:t>
      </w:r>
      <w:r w:rsidR="00DE779E">
        <w:rPr>
          <w:rFonts w:ascii="Times New Roman" w:hAnsi="Times New Roman" w:cs="Times New Roman"/>
          <w:sz w:val="20"/>
          <w:szCs w:val="20"/>
        </w:rPr>
        <w:t xml:space="preserve"> jeśli innowacja jest testowana </w:t>
      </w:r>
      <w:r w:rsidR="006E316E">
        <w:rPr>
          <w:rFonts w:ascii="Times New Roman" w:hAnsi="Times New Roman" w:cs="Times New Roman"/>
          <w:sz w:val="20"/>
          <w:szCs w:val="20"/>
        </w:rPr>
        <w:t>na wybranej grupie społecznej</w:t>
      </w:r>
      <w:r>
        <w:rPr>
          <w:rFonts w:ascii="Times New Roman" w:hAnsi="Times New Roman" w:cs="Times New Roman"/>
          <w:sz w:val="20"/>
          <w:szCs w:val="20"/>
        </w:rPr>
        <w:t>) – tylko jeśli niezbędne i uzasadnione</w:t>
      </w:r>
      <w:r w:rsidR="00C73D6C">
        <w:rPr>
          <w:rFonts w:ascii="Times New Roman" w:hAnsi="Times New Roman" w:cs="Times New Roman"/>
          <w:sz w:val="20"/>
          <w:szCs w:val="20"/>
        </w:rPr>
        <w:t xml:space="preserve">, nie więcej niż </w:t>
      </w:r>
      <w:r w:rsidR="00733FA5">
        <w:rPr>
          <w:rFonts w:ascii="Times New Roman" w:hAnsi="Times New Roman" w:cs="Times New Roman"/>
          <w:sz w:val="20"/>
          <w:szCs w:val="20"/>
        </w:rPr>
        <w:t>20</w:t>
      </w:r>
      <w:r w:rsidR="00C73D6C">
        <w:rPr>
          <w:rFonts w:ascii="Times New Roman" w:hAnsi="Times New Roman" w:cs="Times New Roman"/>
          <w:sz w:val="20"/>
          <w:szCs w:val="20"/>
        </w:rPr>
        <w:t xml:space="preserve">% całkowitej wartości </w:t>
      </w:r>
      <w:r w:rsidR="008F1E52">
        <w:rPr>
          <w:rFonts w:ascii="Times New Roman" w:hAnsi="Times New Roman" w:cs="Times New Roman"/>
          <w:sz w:val="20"/>
          <w:szCs w:val="20"/>
        </w:rPr>
        <w:t>prac przedw</w:t>
      </w:r>
      <w:r w:rsidR="00C73D6C">
        <w:rPr>
          <w:rFonts w:ascii="Times New Roman" w:hAnsi="Times New Roman" w:cs="Times New Roman"/>
          <w:sz w:val="20"/>
          <w:szCs w:val="20"/>
        </w:rPr>
        <w:t>d</w:t>
      </w:r>
      <w:r w:rsidR="008F1E52">
        <w:rPr>
          <w:rFonts w:ascii="Times New Roman" w:hAnsi="Times New Roman" w:cs="Times New Roman"/>
          <w:sz w:val="20"/>
          <w:szCs w:val="20"/>
        </w:rPr>
        <w:t>r</w:t>
      </w:r>
      <w:r w:rsidR="00C73D6C">
        <w:rPr>
          <w:rFonts w:ascii="Times New Roman" w:hAnsi="Times New Roman" w:cs="Times New Roman"/>
          <w:sz w:val="20"/>
          <w:szCs w:val="20"/>
        </w:rPr>
        <w:t>ożeniowych</w:t>
      </w:r>
      <w:r w:rsidR="00393E03">
        <w:rPr>
          <w:rFonts w:ascii="Times New Roman" w:hAnsi="Times New Roman" w:cs="Times New Roman"/>
          <w:sz w:val="20"/>
          <w:szCs w:val="20"/>
        </w:rPr>
        <w:t xml:space="preserve"> </w:t>
      </w:r>
      <w:r w:rsidR="007D5B66">
        <w:rPr>
          <w:rFonts w:ascii="Times New Roman" w:hAnsi="Times New Roman" w:cs="Times New Roman"/>
          <w:sz w:val="20"/>
          <w:szCs w:val="20"/>
        </w:rPr>
        <w:t xml:space="preserve">lub 25% gdy w kosztorysie ujęto wynagrodzenia osób/grupy </w:t>
      </w:r>
      <w:r w:rsidR="0032197A">
        <w:rPr>
          <w:rFonts w:ascii="Times New Roman" w:hAnsi="Times New Roman" w:cs="Times New Roman"/>
          <w:sz w:val="20"/>
          <w:szCs w:val="20"/>
        </w:rPr>
        <w:t>społecznej objętej badaniem.</w:t>
      </w:r>
      <w:r w:rsidR="00AB5057">
        <w:rPr>
          <w:rFonts w:ascii="Times New Roman" w:hAnsi="Times New Roman" w:cs="Times New Roman"/>
          <w:sz w:val="20"/>
          <w:szCs w:val="20"/>
        </w:rPr>
        <w:t xml:space="preserve"> </w:t>
      </w:r>
      <w:r w:rsidR="00816ACD">
        <w:rPr>
          <w:rFonts w:ascii="Times New Roman" w:hAnsi="Times New Roman" w:cs="Times New Roman"/>
          <w:sz w:val="20"/>
          <w:szCs w:val="20"/>
        </w:rPr>
        <w:t xml:space="preserve">W tej kategorii należy uwzględnić całkowity koszt wynagrodzenia </w:t>
      </w:r>
      <w:r w:rsidR="00767A1F">
        <w:rPr>
          <w:rFonts w:ascii="Times New Roman" w:hAnsi="Times New Roman" w:cs="Times New Roman"/>
          <w:sz w:val="20"/>
          <w:szCs w:val="20"/>
        </w:rPr>
        <w:t>personelu</w:t>
      </w:r>
      <w:r w:rsidR="00816ACD">
        <w:rPr>
          <w:rFonts w:ascii="Times New Roman" w:hAnsi="Times New Roman" w:cs="Times New Roman"/>
          <w:sz w:val="20"/>
          <w:szCs w:val="20"/>
        </w:rPr>
        <w:t xml:space="preserve"> tj. brutto, brutto.</w:t>
      </w:r>
    </w:p>
    <w:p w14:paraId="19D71661" w14:textId="77777777" w:rsidR="00ED72D3" w:rsidRPr="00664705" w:rsidRDefault="00ED72D3" w:rsidP="009813F8">
      <w:pPr>
        <w:numPr>
          <w:ilvl w:val="1"/>
          <w:numId w:val="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Koszty udziału w targach i konferencjach biznesowych</w:t>
      </w:r>
      <w:r w:rsidR="00C73D6C">
        <w:rPr>
          <w:rFonts w:ascii="Times New Roman" w:hAnsi="Times New Roman" w:cs="Times New Roman"/>
          <w:sz w:val="20"/>
          <w:szCs w:val="20"/>
        </w:rPr>
        <w:t xml:space="preserve"> związanych </w:t>
      </w:r>
      <w:r w:rsidR="00910D66">
        <w:rPr>
          <w:rFonts w:ascii="Times New Roman" w:hAnsi="Times New Roman" w:cs="Times New Roman"/>
          <w:sz w:val="20"/>
          <w:szCs w:val="20"/>
        </w:rPr>
        <w:t>z poszukiwaniem odbiorców</w:t>
      </w:r>
      <w:r w:rsidR="00C73D6C">
        <w:rPr>
          <w:rFonts w:ascii="Times New Roman" w:hAnsi="Times New Roman" w:cs="Times New Roman"/>
          <w:sz w:val="20"/>
          <w:szCs w:val="20"/>
        </w:rPr>
        <w:t xml:space="preserve"> Innowacji </w:t>
      </w:r>
      <w:r w:rsidR="00910D66">
        <w:rPr>
          <w:rFonts w:ascii="Times New Roman" w:hAnsi="Times New Roman" w:cs="Times New Roman"/>
          <w:sz w:val="20"/>
          <w:szCs w:val="20"/>
        </w:rPr>
        <w:t>oraz szkoleniach niezbędnych do rea</w:t>
      </w:r>
      <w:r w:rsidR="00203B2C">
        <w:rPr>
          <w:rFonts w:ascii="Times New Roman" w:hAnsi="Times New Roman" w:cs="Times New Roman"/>
          <w:sz w:val="20"/>
          <w:szCs w:val="20"/>
        </w:rPr>
        <w:t>lizacji prac przedwdrożeniowych;</w:t>
      </w:r>
    </w:p>
    <w:p w14:paraId="6B82456D" w14:textId="77777777" w:rsidR="00ED72D3" w:rsidRPr="00664705" w:rsidRDefault="00ED72D3" w:rsidP="009813F8">
      <w:pPr>
        <w:numPr>
          <w:ilvl w:val="1"/>
          <w:numId w:val="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664705">
        <w:rPr>
          <w:rFonts w:ascii="Times New Roman" w:hAnsi="Times New Roman" w:cs="Times New Roman"/>
          <w:sz w:val="20"/>
          <w:szCs w:val="20"/>
        </w:rPr>
        <w:t>Wydatki na zakup materiałów i surowców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FAE5DA8" w14:textId="34DF3DC9" w:rsidR="00ED72D3" w:rsidRPr="00664705" w:rsidRDefault="00ED72D3" w:rsidP="009813F8">
      <w:pPr>
        <w:numPr>
          <w:ilvl w:val="1"/>
          <w:numId w:val="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664705">
        <w:rPr>
          <w:rFonts w:ascii="Times New Roman" w:hAnsi="Times New Roman" w:cs="Times New Roman"/>
          <w:sz w:val="20"/>
          <w:szCs w:val="20"/>
        </w:rPr>
        <w:t xml:space="preserve">Koszty </w:t>
      </w:r>
      <w:r w:rsidR="00C73D6C">
        <w:rPr>
          <w:rFonts w:ascii="Times New Roman" w:hAnsi="Times New Roman" w:cs="Times New Roman"/>
          <w:sz w:val="20"/>
          <w:szCs w:val="20"/>
        </w:rPr>
        <w:t xml:space="preserve">wynajmu </w:t>
      </w:r>
      <w:r w:rsidRPr="00664705">
        <w:rPr>
          <w:rFonts w:ascii="Times New Roman" w:hAnsi="Times New Roman" w:cs="Times New Roman"/>
          <w:sz w:val="20"/>
          <w:szCs w:val="20"/>
        </w:rPr>
        <w:t xml:space="preserve">aparatury naukowo-badawczej </w:t>
      </w:r>
      <w:r w:rsidR="00C73D6C">
        <w:rPr>
          <w:rFonts w:ascii="Times New Roman" w:hAnsi="Times New Roman" w:cs="Times New Roman"/>
          <w:sz w:val="20"/>
          <w:szCs w:val="20"/>
        </w:rPr>
        <w:t xml:space="preserve">UJ </w:t>
      </w:r>
      <w:r w:rsidR="00033398">
        <w:rPr>
          <w:rFonts w:ascii="Times New Roman" w:hAnsi="Times New Roman" w:cs="Times New Roman"/>
          <w:sz w:val="20"/>
          <w:szCs w:val="20"/>
        </w:rPr>
        <w:t xml:space="preserve">lub UEK </w:t>
      </w:r>
      <w:r>
        <w:rPr>
          <w:rFonts w:ascii="Times New Roman" w:hAnsi="Times New Roman" w:cs="Times New Roman"/>
          <w:sz w:val="20"/>
          <w:szCs w:val="20"/>
        </w:rPr>
        <w:t>określone na podstawie cenników zgodnych z wewnętrznym regulaminem UJ dotyczącym korzystania z infrastruktury</w:t>
      </w:r>
      <w:r w:rsidR="00033398">
        <w:rPr>
          <w:rFonts w:ascii="Times New Roman" w:hAnsi="Times New Roman" w:cs="Times New Roman"/>
          <w:sz w:val="20"/>
          <w:szCs w:val="20"/>
        </w:rPr>
        <w:t xml:space="preserve"> oraz regulacjami wewnętrznymi UEK</w:t>
      </w:r>
      <w:r w:rsidR="00767A1F">
        <w:rPr>
          <w:rFonts w:ascii="Times New Roman" w:hAnsi="Times New Roman" w:cs="Times New Roman"/>
          <w:sz w:val="20"/>
          <w:szCs w:val="20"/>
        </w:rPr>
        <w:t xml:space="preserve"> – nie ma możliwości zakupu środków trwałych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5F4BE7FF" w14:textId="77777777" w:rsidR="00ED72D3" w:rsidRPr="00664705" w:rsidRDefault="00ED72D3" w:rsidP="009813F8">
      <w:pPr>
        <w:numPr>
          <w:ilvl w:val="1"/>
          <w:numId w:val="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664705">
        <w:rPr>
          <w:rFonts w:ascii="Times New Roman" w:hAnsi="Times New Roman" w:cs="Times New Roman"/>
          <w:sz w:val="20"/>
          <w:szCs w:val="20"/>
        </w:rPr>
        <w:t xml:space="preserve">Wydatki na zakup </w:t>
      </w:r>
      <w:r w:rsidR="00910D66">
        <w:rPr>
          <w:rFonts w:ascii="Times New Roman" w:hAnsi="Times New Roman" w:cs="Times New Roman"/>
          <w:sz w:val="20"/>
          <w:szCs w:val="20"/>
        </w:rPr>
        <w:t xml:space="preserve">zewnętrznych </w:t>
      </w:r>
      <w:r w:rsidRPr="00664705">
        <w:rPr>
          <w:rFonts w:ascii="Times New Roman" w:hAnsi="Times New Roman" w:cs="Times New Roman"/>
          <w:sz w:val="20"/>
          <w:szCs w:val="20"/>
        </w:rPr>
        <w:t>usług badawczych, analiz, raportów oraz ekspertyz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E10061D" w14:textId="77777777" w:rsidR="00ED72D3" w:rsidRPr="00664705" w:rsidRDefault="00ED72D3" w:rsidP="009813F8">
      <w:pPr>
        <w:numPr>
          <w:ilvl w:val="1"/>
          <w:numId w:val="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664705">
        <w:rPr>
          <w:rFonts w:ascii="Times New Roman" w:hAnsi="Times New Roman" w:cs="Times New Roman"/>
          <w:sz w:val="20"/>
          <w:szCs w:val="20"/>
        </w:rPr>
        <w:t>Koszty krajowych i zagranicz</w:t>
      </w:r>
      <w:r>
        <w:rPr>
          <w:rFonts w:ascii="Times New Roman" w:hAnsi="Times New Roman" w:cs="Times New Roman"/>
          <w:sz w:val="20"/>
          <w:szCs w:val="20"/>
        </w:rPr>
        <w:t>nych podróży służbowych</w:t>
      </w:r>
      <w:r w:rsidR="00DF2FB5">
        <w:rPr>
          <w:rFonts w:ascii="Times New Roman" w:hAnsi="Times New Roman" w:cs="Times New Roman"/>
          <w:sz w:val="20"/>
          <w:szCs w:val="20"/>
        </w:rPr>
        <w:t xml:space="preserve"> związanych z badaniami przedwdrożeniowymi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AD6F1C7" w14:textId="77777777" w:rsidR="00ED72D3" w:rsidRDefault="00ED72D3" w:rsidP="009813F8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3E27B689">
        <w:rPr>
          <w:rFonts w:ascii="Times New Roman" w:hAnsi="Times New Roman" w:cs="Times New Roman"/>
          <w:sz w:val="20"/>
          <w:szCs w:val="20"/>
        </w:rPr>
        <w:t>Warunkiem rozpatrzenia wniosku o dofinansowanie jest:</w:t>
      </w:r>
    </w:p>
    <w:p w14:paraId="1F34033F" w14:textId="6C025DAE" w:rsidR="00EA1BB0" w:rsidRPr="00EA1BB0" w:rsidRDefault="00ED72D3" w:rsidP="009813F8">
      <w:pPr>
        <w:numPr>
          <w:ilvl w:val="1"/>
          <w:numId w:val="14"/>
        </w:numPr>
        <w:tabs>
          <w:tab w:val="left" w:pos="42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4B9FE9BB">
        <w:rPr>
          <w:rFonts w:ascii="Times New Roman" w:hAnsi="Times New Roman" w:cs="Times New Roman"/>
          <w:sz w:val="20"/>
          <w:szCs w:val="20"/>
        </w:rPr>
        <w:t xml:space="preserve">uprzednie formalne zgłoszenie Innowacji do CTT CITTRU </w:t>
      </w:r>
      <w:r w:rsidR="007F50D6" w:rsidRPr="4B9FE9BB">
        <w:rPr>
          <w:rFonts w:ascii="Times New Roman" w:hAnsi="Times New Roman" w:cs="Times New Roman"/>
          <w:sz w:val="20"/>
          <w:szCs w:val="20"/>
        </w:rPr>
        <w:t xml:space="preserve">lub </w:t>
      </w:r>
      <w:proofErr w:type="spellStart"/>
      <w:r w:rsidR="007F50D6" w:rsidRPr="4B9FE9BB">
        <w:rPr>
          <w:rFonts w:ascii="Times New Roman" w:hAnsi="Times New Roman" w:cs="Times New Roman"/>
          <w:sz w:val="20"/>
          <w:szCs w:val="20"/>
        </w:rPr>
        <w:t>DTWiP</w:t>
      </w:r>
      <w:proofErr w:type="spellEnd"/>
      <w:r w:rsidR="007F50D6" w:rsidRPr="4B9FE9BB">
        <w:rPr>
          <w:rFonts w:ascii="Times New Roman" w:hAnsi="Times New Roman" w:cs="Times New Roman"/>
          <w:sz w:val="20"/>
          <w:szCs w:val="20"/>
        </w:rPr>
        <w:t xml:space="preserve"> </w:t>
      </w:r>
      <w:r w:rsidRPr="4B9FE9BB">
        <w:rPr>
          <w:rFonts w:ascii="Times New Roman" w:hAnsi="Times New Roman" w:cs="Times New Roman"/>
          <w:sz w:val="20"/>
          <w:szCs w:val="20"/>
        </w:rPr>
        <w:t>poprzez Formularz Zgłoszenia Wyników (zarejestrowana Innowacja, prawa majątkowe do własności intelektualnej w</w:t>
      </w:r>
      <w:r w:rsidR="00C76F7A" w:rsidRPr="4B9FE9BB">
        <w:rPr>
          <w:rFonts w:ascii="Times New Roman" w:hAnsi="Times New Roman" w:cs="Times New Roman"/>
          <w:sz w:val="20"/>
          <w:szCs w:val="20"/>
        </w:rPr>
        <w:t> </w:t>
      </w:r>
      <w:r w:rsidRPr="4B9FE9BB">
        <w:rPr>
          <w:rFonts w:ascii="Times New Roman" w:hAnsi="Times New Roman" w:cs="Times New Roman"/>
          <w:sz w:val="20"/>
          <w:szCs w:val="20"/>
        </w:rPr>
        <w:t>całości lub w części należą do UJ</w:t>
      </w:r>
      <w:r w:rsidR="007F50D6" w:rsidRPr="4B9FE9BB">
        <w:rPr>
          <w:rFonts w:ascii="Times New Roman" w:hAnsi="Times New Roman" w:cs="Times New Roman"/>
          <w:sz w:val="20"/>
          <w:szCs w:val="20"/>
        </w:rPr>
        <w:t xml:space="preserve"> lub UEK</w:t>
      </w:r>
      <w:r w:rsidRPr="4B9FE9BB">
        <w:rPr>
          <w:rFonts w:ascii="Times New Roman" w:hAnsi="Times New Roman" w:cs="Times New Roman"/>
          <w:sz w:val="20"/>
          <w:szCs w:val="20"/>
        </w:rPr>
        <w:t>)</w:t>
      </w:r>
      <w:r w:rsidR="008B4BED" w:rsidRPr="4B9FE9BB">
        <w:rPr>
          <w:rFonts w:ascii="Times New Roman" w:hAnsi="Times New Roman" w:cs="Times New Roman"/>
          <w:sz w:val="20"/>
          <w:szCs w:val="20"/>
        </w:rPr>
        <w:t xml:space="preserve">. </w:t>
      </w:r>
      <w:r w:rsidR="00EA1BB0" w:rsidRPr="4B9FE9BB">
        <w:rPr>
          <w:rFonts w:ascii="Times New Roman" w:hAnsi="Times New Roman" w:cs="Times New Roman"/>
          <w:sz w:val="20"/>
          <w:szCs w:val="20"/>
        </w:rPr>
        <w:t>W przypadku UEK d</w:t>
      </w:r>
      <w:r w:rsidR="008B4BED" w:rsidRPr="4B9FE9BB">
        <w:rPr>
          <w:rFonts w:ascii="Times New Roman" w:hAnsi="Times New Roman" w:cs="Times New Roman"/>
          <w:sz w:val="20"/>
          <w:szCs w:val="20"/>
        </w:rPr>
        <w:t xml:space="preserve">opuszcza się dokonanie zgłoszenia Innowacji </w:t>
      </w:r>
      <w:r w:rsidR="00EA1BB0" w:rsidRPr="4B9FE9BB">
        <w:rPr>
          <w:rFonts w:ascii="Times New Roman" w:hAnsi="Times New Roman" w:cs="Times New Roman"/>
          <w:sz w:val="20"/>
          <w:szCs w:val="20"/>
        </w:rPr>
        <w:t>do</w:t>
      </w:r>
      <w:r w:rsidR="007F50D6" w:rsidRPr="4B9FE9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F50D6" w:rsidRPr="4B9FE9BB">
        <w:rPr>
          <w:rFonts w:ascii="Times New Roman" w:hAnsi="Times New Roman" w:cs="Times New Roman"/>
          <w:sz w:val="20"/>
          <w:szCs w:val="20"/>
        </w:rPr>
        <w:t>DTWiP</w:t>
      </w:r>
      <w:proofErr w:type="spellEnd"/>
      <w:r w:rsidR="007F50D6" w:rsidRPr="4B9FE9BB">
        <w:rPr>
          <w:rFonts w:ascii="Times New Roman" w:hAnsi="Times New Roman" w:cs="Times New Roman"/>
          <w:sz w:val="20"/>
          <w:szCs w:val="20"/>
        </w:rPr>
        <w:t xml:space="preserve"> </w:t>
      </w:r>
      <w:r w:rsidR="008B4BED" w:rsidRPr="4B9FE9BB">
        <w:rPr>
          <w:rFonts w:ascii="Times New Roman" w:hAnsi="Times New Roman" w:cs="Times New Roman"/>
          <w:sz w:val="20"/>
          <w:szCs w:val="20"/>
        </w:rPr>
        <w:t xml:space="preserve">w terminie do </w:t>
      </w:r>
      <w:r w:rsidR="00AB767B" w:rsidRPr="4B9FE9BB">
        <w:rPr>
          <w:rFonts w:ascii="Times New Roman" w:hAnsi="Times New Roman" w:cs="Times New Roman"/>
          <w:sz w:val="20"/>
          <w:szCs w:val="20"/>
        </w:rPr>
        <w:t xml:space="preserve">30 </w:t>
      </w:r>
      <w:r w:rsidR="00E66833" w:rsidRPr="4B9FE9BB">
        <w:rPr>
          <w:rFonts w:ascii="Times New Roman" w:hAnsi="Times New Roman" w:cs="Times New Roman"/>
          <w:sz w:val="20"/>
          <w:szCs w:val="20"/>
        </w:rPr>
        <w:t>dni</w:t>
      </w:r>
      <w:r w:rsidR="00AB767B" w:rsidRPr="4B9FE9BB">
        <w:rPr>
          <w:rFonts w:ascii="Times New Roman" w:hAnsi="Times New Roman" w:cs="Times New Roman"/>
          <w:sz w:val="20"/>
          <w:szCs w:val="20"/>
        </w:rPr>
        <w:t xml:space="preserve"> od</w:t>
      </w:r>
      <w:r w:rsidR="007F50D6" w:rsidRPr="4B9FE9BB">
        <w:rPr>
          <w:rFonts w:ascii="Times New Roman" w:hAnsi="Times New Roman" w:cs="Times New Roman"/>
          <w:sz w:val="20"/>
          <w:szCs w:val="20"/>
        </w:rPr>
        <w:t xml:space="preserve"> </w:t>
      </w:r>
      <w:r w:rsidR="00AB767B" w:rsidRPr="4B9FE9BB">
        <w:rPr>
          <w:rFonts w:ascii="Times New Roman" w:hAnsi="Times New Roman" w:cs="Times New Roman"/>
          <w:sz w:val="20"/>
          <w:szCs w:val="20"/>
        </w:rPr>
        <w:t>rozpoczęcia</w:t>
      </w:r>
      <w:r w:rsidR="007F50D6" w:rsidRPr="4B9FE9BB">
        <w:rPr>
          <w:rFonts w:ascii="Times New Roman" w:hAnsi="Times New Roman" w:cs="Times New Roman"/>
          <w:sz w:val="20"/>
          <w:szCs w:val="20"/>
        </w:rPr>
        <w:t xml:space="preserve"> realizacji</w:t>
      </w:r>
      <w:r w:rsidR="00E66833" w:rsidRPr="4B9FE9BB">
        <w:rPr>
          <w:rFonts w:ascii="Times New Roman" w:hAnsi="Times New Roman" w:cs="Times New Roman"/>
          <w:sz w:val="20"/>
          <w:szCs w:val="20"/>
        </w:rPr>
        <w:t xml:space="preserve"> badania przedwdrożeniowego zaplanowanego </w:t>
      </w:r>
      <w:r w:rsidR="00E66833" w:rsidRPr="4B9FE9BB">
        <w:rPr>
          <w:rFonts w:ascii="Times New Roman" w:hAnsi="Times New Roman" w:cs="Times New Roman"/>
          <w:sz w:val="20"/>
          <w:szCs w:val="20"/>
        </w:rPr>
        <w:lastRenderedPageBreak/>
        <w:t xml:space="preserve">we wniosku. </w:t>
      </w:r>
      <w:r w:rsidR="00EA1BB0" w:rsidRPr="4B9FE9BB">
        <w:rPr>
          <w:rFonts w:ascii="Times New Roman" w:hAnsi="Times New Roman" w:cs="Times New Roman"/>
          <w:sz w:val="20"/>
          <w:szCs w:val="20"/>
        </w:rPr>
        <w:t>W przypadku Innowacji pochodzących z UJ</w:t>
      </w:r>
      <w:r w:rsidR="00767A1F">
        <w:rPr>
          <w:rFonts w:ascii="Times New Roman" w:hAnsi="Times New Roman" w:cs="Times New Roman"/>
          <w:sz w:val="20"/>
          <w:szCs w:val="20"/>
        </w:rPr>
        <w:t xml:space="preserve"> dla których należy podać datę zgłoszenia innowacji do CTT CITTRU oraz nr P dla projektu wynalazczego nadany w CTT CITTRU</w:t>
      </w:r>
      <w:r w:rsidR="00EA1BB0" w:rsidRPr="4B9FE9BB">
        <w:rPr>
          <w:rFonts w:ascii="Times New Roman" w:hAnsi="Times New Roman" w:cs="Times New Roman"/>
          <w:sz w:val="20"/>
          <w:szCs w:val="20"/>
        </w:rPr>
        <w:t>, dofinansowanie mogą uzyskać tylko takie, dla których dokonano już zgłoszenia patentowego w UPRP lub innej procedurze patentowej za granicą lub Innowacje społeczne lub informatyczne, dla których istnieje co najmniej pierwsza wersja usługi, produktu</w:t>
      </w:r>
      <w:r w:rsidR="00767A1F">
        <w:rPr>
          <w:rFonts w:ascii="Times New Roman" w:hAnsi="Times New Roman" w:cs="Times New Roman"/>
          <w:sz w:val="20"/>
          <w:szCs w:val="20"/>
        </w:rPr>
        <w:t xml:space="preserve"> lub istnieją wyniki badania </w:t>
      </w:r>
      <w:r w:rsidR="00767A1F" w:rsidRPr="003F182C">
        <w:rPr>
          <w:rFonts w:ascii="Times New Roman" w:hAnsi="Times New Roman" w:cs="Times New Roman"/>
          <w:i/>
          <w:iCs/>
          <w:sz w:val="20"/>
          <w:szCs w:val="20"/>
        </w:rPr>
        <w:t xml:space="preserve">proof of </w:t>
      </w:r>
      <w:proofErr w:type="spellStart"/>
      <w:r w:rsidR="00767A1F" w:rsidRPr="003F182C">
        <w:rPr>
          <w:rFonts w:ascii="Times New Roman" w:hAnsi="Times New Roman" w:cs="Times New Roman"/>
          <w:i/>
          <w:iCs/>
          <w:sz w:val="20"/>
          <w:szCs w:val="20"/>
        </w:rPr>
        <w:t>principle</w:t>
      </w:r>
      <w:proofErr w:type="spellEnd"/>
      <w:r w:rsidR="00767A1F">
        <w:rPr>
          <w:rFonts w:ascii="Times New Roman" w:hAnsi="Times New Roman" w:cs="Times New Roman"/>
          <w:sz w:val="20"/>
          <w:szCs w:val="20"/>
        </w:rPr>
        <w:t xml:space="preserve"> potwierdzające możliwość opracowania innowacyjnego produktu/usługi</w:t>
      </w:r>
      <w:r w:rsidR="00EA1BB0" w:rsidRPr="4B9FE9BB">
        <w:rPr>
          <w:rFonts w:ascii="Times New Roman" w:hAnsi="Times New Roman" w:cs="Times New Roman"/>
          <w:sz w:val="20"/>
          <w:szCs w:val="20"/>
        </w:rPr>
        <w:t>.</w:t>
      </w:r>
    </w:p>
    <w:p w14:paraId="5E7A79AA" w14:textId="77777777" w:rsidR="00ED72D3" w:rsidRDefault="00ED72D3" w:rsidP="009813F8">
      <w:pPr>
        <w:numPr>
          <w:ilvl w:val="1"/>
          <w:numId w:val="14"/>
        </w:numPr>
        <w:tabs>
          <w:tab w:val="left" w:pos="42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162FC4">
        <w:rPr>
          <w:rFonts w:ascii="Times New Roman" w:hAnsi="Times New Roman" w:cs="Times New Roman"/>
          <w:sz w:val="20"/>
          <w:szCs w:val="20"/>
        </w:rPr>
        <w:t xml:space="preserve">ykazanie, że </w:t>
      </w:r>
      <w:r>
        <w:rPr>
          <w:rFonts w:ascii="Times New Roman" w:hAnsi="Times New Roman" w:cs="Times New Roman"/>
          <w:sz w:val="20"/>
          <w:szCs w:val="20"/>
        </w:rPr>
        <w:t>Innowacj</w:t>
      </w:r>
      <w:r w:rsidR="00E66833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66833">
        <w:rPr>
          <w:rFonts w:ascii="Times New Roman" w:hAnsi="Times New Roman" w:cs="Times New Roman"/>
          <w:sz w:val="20"/>
          <w:szCs w:val="20"/>
        </w:rPr>
        <w:t>posiada</w:t>
      </w:r>
      <w:r w:rsidR="00E66833" w:rsidRPr="00162FC4">
        <w:rPr>
          <w:rFonts w:ascii="Times New Roman" w:hAnsi="Times New Roman" w:cs="Times New Roman"/>
          <w:sz w:val="20"/>
          <w:szCs w:val="20"/>
        </w:rPr>
        <w:t xml:space="preserve"> </w:t>
      </w:r>
      <w:r w:rsidRPr="00162FC4">
        <w:rPr>
          <w:rFonts w:ascii="Times New Roman" w:hAnsi="Times New Roman" w:cs="Times New Roman"/>
          <w:sz w:val="20"/>
          <w:szCs w:val="20"/>
        </w:rPr>
        <w:t>wysoki potencjał komercyjny</w:t>
      </w:r>
      <w:r w:rsidR="00E66833">
        <w:rPr>
          <w:rFonts w:ascii="Times New Roman" w:hAnsi="Times New Roman" w:cs="Times New Roman"/>
          <w:sz w:val="20"/>
          <w:szCs w:val="20"/>
        </w:rPr>
        <w:t xml:space="preserve"> i praktyczny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62FC4">
        <w:rPr>
          <w:rFonts w:ascii="Times New Roman" w:hAnsi="Times New Roman" w:cs="Times New Roman"/>
          <w:sz w:val="20"/>
          <w:szCs w:val="20"/>
        </w:rPr>
        <w:t>wynikający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FC4">
        <w:rPr>
          <w:rFonts w:ascii="Times New Roman" w:hAnsi="Times New Roman" w:cs="Times New Roman"/>
          <w:sz w:val="20"/>
          <w:szCs w:val="20"/>
        </w:rPr>
        <w:t>bądź z analizy rynku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62FC4">
        <w:rPr>
          <w:rFonts w:ascii="Times New Roman" w:hAnsi="Times New Roman" w:cs="Times New Roman"/>
          <w:sz w:val="20"/>
          <w:szCs w:val="20"/>
        </w:rPr>
        <w:t xml:space="preserve"> bądź z zapotrzebowania bezpośrednio zgłoszonego przez partnera biznesowego (popartego dokumentem, np. listem intencyjnym lub umo</w:t>
      </w:r>
      <w:r>
        <w:rPr>
          <w:rFonts w:ascii="Times New Roman" w:hAnsi="Times New Roman" w:cs="Times New Roman"/>
          <w:sz w:val="20"/>
          <w:szCs w:val="20"/>
        </w:rPr>
        <w:t>wą o współpracy, umową MTA</w:t>
      </w:r>
      <w:r w:rsidRPr="00162FC4">
        <w:rPr>
          <w:rFonts w:ascii="Times New Roman" w:hAnsi="Times New Roman" w:cs="Times New Roman"/>
          <w:sz w:val="20"/>
          <w:szCs w:val="20"/>
        </w:rPr>
        <w:t>, zapytaniem z firmy, sprawozdaniem ze spotkania z firmą, itp.)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3E6537A2" w14:textId="28B8A2A9" w:rsidR="00EA1BB0" w:rsidRPr="00EA1BB0" w:rsidRDefault="00ED72D3" w:rsidP="009813F8">
      <w:pPr>
        <w:numPr>
          <w:ilvl w:val="1"/>
          <w:numId w:val="14"/>
        </w:numPr>
        <w:tabs>
          <w:tab w:val="left" w:pos="42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wykazanie, że </w:t>
      </w:r>
      <w:r w:rsidRPr="00162FC4">
        <w:rPr>
          <w:rFonts w:ascii="Times New Roman" w:hAnsi="Times New Roman" w:cs="Times New Roman"/>
          <w:sz w:val="20"/>
          <w:szCs w:val="20"/>
        </w:rPr>
        <w:t xml:space="preserve">zaplanowane prace przedwdrożeniowe znacząco zwiększą poziom gotowości </w:t>
      </w:r>
      <w:r>
        <w:rPr>
          <w:rFonts w:ascii="Times New Roman" w:hAnsi="Times New Roman" w:cs="Times New Roman"/>
          <w:sz w:val="20"/>
          <w:szCs w:val="20"/>
        </w:rPr>
        <w:t xml:space="preserve">Innowacji </w:t>
      </w:r>
      <w:r w:rsidRPr="00162FC4">
        <w:rPr>
          <w:rFonts w:ascii="Times New Roman" w:hAnsi="Times New Roman" w:cs="Times New Roman"/>
          <w:sz w:val="20"/>
          <w:szCs w:val="20"/>
        </w:rPr>
        <w:t>do komerc</w:t>
      </w:r>
      <w:r>
        <w:rPr>
          <w:rFonts w:ascii="Times New Roman" w:hAnsi="Times New Roman" w:cs="Times New Roman"/>
          <w:sz w:val="20"/>
          <w:szCs w:val="20"/>
        </w:rPr>
        <w:t xml:space="preserve">jalizacji lub </w:t>
      </w:r>
      <w:r w:rsidR="00E66833">
        <w:rPr>
          <w:rFonts w:ascii="Times New Roman" w:hAnsi="Times New Roman" w:cs="Times New Roman"/>
          <w:sz w:val="20"/>
          <w:szCs w:val="20"/>
        </w:rPr>
        <w:t>praktycznego wykorzystania</w:t>
      </w:r>
      <w:r>
        <w:rPr>
          <w:rFonts w:ascii="Times New Roman" w:hAnsi="Times New Roman" w:cs="Times New Roman"/>
          <w:sz w:val="20"/>
          <w:szCs w:val="20"/>
        </w:rPr>
        <w:t xml:space="preserve"> i w rezultacie zwiększą szanse na sukces procesu </w:t>
      </w:r>
      <w:r w:rsidR="00E66833">
        <w:rPr>
          <w:rFonts w:ascii="Times New Roman" w:hAnsi="Times New Roman" w:cs="Times New Roman"/>
          <w:sz w:val="20"/>
          <w:szCs w:val="20"/>
        </w:rPr>
        <w:t>transfery technologii i wiedzy z uczelni do otoczenia społeczno-gospodarczego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98C5F7F" w14:textId="6933AB3C" w:rsidR="00ED72D3" w:rsidRPr="00E66833" w:rsidRDefault="00ED72D3" w:rsidP="009813F8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3E27B689">
        <w:rPr>
          <w:rFonts w:ascii="Times New Roman" w:hAnsi="Times New Roman" w:cs="Times New Roman"/>
          <w:sz w:val="20"/>
          <w:szCs w:val="20"/>
        </w:rPr>
        <w:t xml:space="preserve">Wniosek o dofinansowanie jest przygotowywany przez pracownika </w:t>
      </w:r>
      <w:r w:rsidR="00E279C5">
        <w:rPr>
          <w:rFonts w:ascii="Times New Roman" w:hAnsi="Times New Roman" w:cs="Times New Roman"/>
          <w:sz w:val="20"/>
          <w:szCs w:val="20"/>
        </w:rPr>
        <w:t xml:space="preserve">i/lub Twórcę Innowacji </w:t>
      </w:r>
      <w:r w:rsidRPr="3E27B689">
        <w:rPr>
          <w:rFonts w:ascii="Times New Roman" w:hAnsi="Times New Roman" w:cs="Times New Roman"/>
          <w:sz w:val="20"/>
          <w:szCs w:val="20"/>
        </w:rPr>
        <w:t xml:space="preserve">UJ </w:t>
      </w:r>
      <w:r w:rsidR="007F50D6" w:rsidRPr="3E27B689">
        <w:rPr>
          <w:rFonts w:ascii="Times New Roman" w:hAnsi="Times New Roman" w:cs="Times New Roman"/>
          <w:sz w:val="20"/>
          <w:szCs w:val="20"/>
        </w:rPr>
        <w:t>lub UEK</w:t>
      </w:r>
      <w:r w:rsidR="007F0B8D">
        <w:rPr>
          <w:rFonts w:ascii="Times New Roman" w:hAnsi="Times New Roman" w:cs="Times New Roman"/>
          <w:sz w:val="20"/>
          <w:szCs w:val="20"/>
        </w:rPr>
        <w:t xml:space="preserve"> </w:t>
      </w:r>
      <w:r w:rsidRPr="3E27B689">
        <w:rPr>
          <w:rFonts w:ascii="Times New Roman" w:hAnsi="Times New Roman" w:cs="Times New Roman"/>
          <w:sz w:val="20"/>
          <w:szCs w:val="20"/>
        </w:rPr>
        <w:t xml:space="preserve">reprezentującego zespół badawczy (dalej: </w:t>
      </w:r>
      <w:r w:rsidRPr="3E27B689">
        <w:rPr>
          <w:rFonts w:ascii="Times New Roman" w:hAnsi="Times New Roman" w:cs="Times New Roman"/>
          <w:b/>
          <w:bCs/>
          <w:sz w:val="20"/>
          <w:szCs w:val="20"/>
        </w:rPr>
        <w:t>Kierownik</w:t>
      </w:r>
      <w:r w:rsidRPr="3E27B689">
        <w:rPr>
          <w:rFonts w:ascii="Times New Roman" w:hAnsi="Times New Roman" w:cs="Times New Roman"/>
          <w:sz w:val="20"/>
          <w:szCs w:val="20"/>
        </w:rPr>
        <w:t>) we współpracy z Brokerem</w:t>
      </w:r>
      <w:r w:rsidR="007F50D6" w:rsidRPr="3E27B689">
        <w:rPr>
          <w:rFonts w:ascii="Times New Roman" w:hAnsi="Times New Roman" w:cs="Times New Roman"/>
          <w:sz w:val="20"/>
          <w:szCs w:val="20"/>
        </w:rPr>
        <w:t xml:space="preserve"> UJ lub przedstawicielem </w:t>
      </w:r>
      <w:proofErr w:type="spellStart"/>
      <w:r w:rsidR="007F50D6" w:rsidRPr="3E27B689">
        <w:rPr>
          <w:rFonts w:ascii="Times New Roman" w:hAnsi="Times New Roman" w:cs="Times New Roman"/>
          <w:sz w:val="20"/>
          <w:szCs w:val="20"/>
        </w:rPr>
        <w:t>DTWiP</w:t>
      </w:r>
      <w:proofErr w:type="spellEnd"/>
      <w:r w:rsidR="0027474C" w:rsidRPr="3E27B689">
        <w:rPr>
          <w:rFonts w:ascii="Times New Roman" w:hAnsi="Times New Roman" w:cs="Times New Roman"/>
          <w:sz w:val="20"/>
          <w:szCs w:val="20"/>
        </w:rPr>
        <w:t xml:space="preserve"> (dalej łącznie: </w:t>
      </w:r>
      <w:r w:rsidR="00E54902" w:rsidRPr="3E27B689">
        <w:rPr>
          <w:rFonts w:ascii="Times New Roman" w:hAnsi="Times New Roman" w:cs="Times New Roman"/>
          <w:b/>
          <w:bCs/>
          <w:sz w:val="20"/>
          <w:szCs w:val="20"/>
        </w:rPr>
        <w:t>Koordynator</w:t>
      </w:r>
      <w:r w:rsidR="0027474C" w:rsidRPr="3E27B689">
        <w:rPr>
          <w:rFonts w:ascii="Times New Roman" w:hAnsi="Times New Roman" w:cs="Times New Roman"/>
          <w:sz w:val="20"/>
          <w:szCs w:val="20"/>
        </w:rPr>
        <w:t xml:space="preserve"> lub </w:t>
      </w:r>
      <w:r w:rsidR="0027474C" w:rsidRPr="3E27B689">
        <w:rPr>
          <w:rFonts w:ascii="Times New Roman" w:hAnsi="Times New Roman" w:cs="Times New Roman"/>
          <w:b/>
          <w:bCs/>
          <w:sz w:val="20"/>
          <w:szCs w:val="20"/>
        </w:rPr>
        <w:t>Koordynatorzy)</w:t>
      </w:r>
      <w:r w:rsidR="00E66833" w:rsidRPr="3E27B689">
        <w:rPr>
          <w:rFonts w:ascii="Times New Roman" w:hAnsi="Times New Roman" w:cs="Times New Roman"/>
          <w:sz w:val="20"/>
          <w:szCs w:val="20"/>
        </w:rPr>
        <w:t>, przy czym r</w:t>
      </w:r>
      <w:r w:rsidRPr="3E27B689">
        <w:rPr>
          <w:rFonts w:ascii="Times New Roman" w:hAnsi="Times New Roman" w:cs="Times New Roman"/>
          <w:sz w:val="20"/>
          <w:szCs w:val="20"/>
        </w:rPr>
        <w:t xml:space="preserve">olą </w:t>
      </w:r>
      <w:r w:rsidR="0027474C" w:rsidRPr="3E27B689">
        <w:rPr>
          <w:rFonts w:ascii="Times New Roman" w:hAnsi="Times New Roman" w:cs="Times New Roman"/>
          <w:sz w:val="20"/>
          <w:szCs w:val="20"/>
        </w:rPr>
        <w:t>Koordynatora</w:t>
      </w:r>
      <w:r w:rsidRPr="3E27B689">
        <w:rPr>
          <w:rFonts w:ascii="Times New Roman" w:hAnsi="Times New Roman" w:cs="Times New Roman"/>
          <w:sz w:val="20"/>
          <w:szCs w:val="20"/>
        </w:rPr>
        <w:t xml:space="preserve"> jest wsparcie Kierownika w zakresie przygotowania analizy danych rynkowych, oceny potencjału komercyjnego/</w:t>
      </w:r>
      <w:r w:rsidR="00E66833" w:rsidRPr="3E27B689">
        <w:rPr>
          <w:rFonts w:ascii="Times New Roman" w:hAnsi="Times New Roman" w:cs="Times New Roman"/>
          <w:sz w:val="20"/>
          <w:szCs w:val="20"/>
        </w:rPr>
        <w:t>praktycznego</w:t>
      </w:r>
      <w:r w:rsidRPr="3E27B689">
        <w:rPr>
          <w:rFonts w:ascii="Times New Roman" w:hAnsi="Times New Roman" w:cs="Times New Roman"/>
          <w:sz w:val="20"/>
          <w:szCs w:val="20"/>
        </w:rPr>
        <w:t xml:space="preserve"> Innowacji</w:t>
      </w:r>
      <w:r w:rsidR="00E66833" w:rsidRPr="3E27B689">
        <w:rPr>
          <w:rFonts w:ascii="Times New Roman" w:hAnsi="Times New Roman" w:cs="Times New Roman"/>
          <w:sz w:val="20"/>
          <w:szCs w:val="20"/>
        </w:rPr>
        <w:t>.</w:t>
      </w:r>
    </w:p>
    <w:p w14:paraId="69385371" w14:textId="43B70C49" w:rsidR="00ED72D3" w:rsidRDefault="00ED72D3" w:rsidP="009813F8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3E27B689">
        <w:rPr>
          <w:rFonts w:ascii="Times New Roman" w:hAnsi="Times New Roman" w:cs="Times New Roman"/>
          <w:sz w:val="20"/>
          <w:szCs w:val="20"/>
        </w:rPr>
        <w:t xml:space="preserve">Wniosek o dofinansowanie podpisuje Kierownik, </w:t>
      </w:r>
      <w:r w:rsidR="0027474C" w:rsidRPr="3E27B689">
        <w:rPr>
          <w:rFonts w:ascii="Times New Roman" w:hAnsi="Times New Roman" w:cs="Times New Roman"/>
          <w:sz w:val="20"/>
          <w:szCs w:val="20"/>
        </w:rPr>
        <w:t>Koordynator</w:t>
      </w:r>
      <w:r w:rsidRPr="3E27B689">
        <w:rPr>
          <w:rFonts w:ascii="Times New Roman" w:hAnsi="Times New Roman" w:cs="Times New Roman"/>
          <w:sz w:val="20"/>
          <w:szCs w:val="20"/>
        </w:rPr>
        <w:t xml:space="preserve"> oraz Dziekan Wydziału lub kierownik jednostki pozawydziałowej, jednostki międzywydziałowej, jednostki międzyuczelnianej lub jednostki wspólnej, z której pochodzi zespół badawczy (dalej: </w:t>
      </w:r>
      <w:r w:rsidRPr="3E27B689">
        <w:rPr>
          <w:rFonts w:ascii="Times New Roman" w:hAnsi="Times New Roman" w:cs="Times New Roman"/>
          <w:b/>
          <w:bCs/>
          <w:sz w:val="20"/>
          <w:szCs w:val="20"/>
        </w:rPr>
        <w:t>Kierownik jednostki</w:t>
      </w:r>
      <w:r w:rsidRPr="3E27B689">
        <w:rPr>
          <w:rFonts w:ascii="Times New Roman" w:hAnsi="Times New Roman" w:cs="Times New Roman"/>
          <w:sz w:val="20"/>
          <w:szCs w:val="20"/>
        </w:rPr>
        <w:t>).</w:t>
      </w:r>
    </w:p>
    <w:p w14:paraId="3E0760D1" w14:textId="4D249A7B" w:rsidR="004412F3" w:rsidRPr="00496DFE" w:rsidRDefault="004412F3" w:rsidP="009813F8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3E27B689">
        <w:rPr>
          <w:rFonts w:ascii="Times New Roman" w:hAnsi="Times New Roman" w:cs="Times New Roman"/>
          <w:sz w:val="20"/>
          <w:szCs w:val="20"/>
        </w:rPr>
        <w:t xml:space="preserve">Wnioski można składać w terminie </w:t>
      </w:r>
      <w:r w:rsidRPr="00496DFE">
        <w:rPr>
          <w:rFonts w:ascii="Times New Roman" w:hAnsi="Times New Roman" w:cs="Times New Roman"/>
          <w:b/>
          <w:bCs/>
          <w:sz w:val="28"/>
          <w:szCs w:val="28"/>
        </w:rPr>
        <w:t xml:space="preserve">do </w:t>
      </w:r>
      <w:r w:rsidR="00645137" w:rsidRPr="00496DF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77CD7" w:rsidRPr="00496DF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45137" w:rsidRPr="00496DFE">
        <w:rPr>
          <w:rFonts w:ascii="Times New Roman" w:hAnsi="Times New Roman" w:cs="Times New Roman"/>
          <w:b/>
          <w:bCs/>
          <w:sz w:val="28"/>
          <w:szCs w:val="28"/>
        </w:rPr>
        <w:t>.06</w:t>
      </w:r>
      <w:r w:rsidRPr="00496DFE">
        <w:rPr>
          <w:rFonts w:ascii="Times New Roman" w:hAnsi="Times New Roman" w:cs="Times New Roman"/>
          <w:b/>
          <w:bCs/>
          <w:sz w:val="28"/>
          <w:szCs w:val="28"/>
        </w:rPr>
        <w:t>.2021 r. do godz. 1</w:t>
      </w:r>
      <w:r w:rsidR="00645137" w:rsidRPr="00496DF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96DFE">
        <w:rPr>
          <w:rFonts w:ascii="Times New Roman" w:hAnsi="Times New Roman" w:cs="Times New Roman"/>
          <w:b/>
          <w:bCs/>
          <w:sz w:val="28"/>
          <w:szCs w:val="28"/>
        </w:rPr>
        <w:t>.00.</w:t>
      </w:r>
    </w:p>
    <w:p w14:paraId="3C1A101C" w14:textId="77777777" w:rsidR="004412F3" w:rsidRPr="003E2A13" w:rsidRDefault="004412F3" w:rsidP="009813F8">
      <w:pPr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2B6D1136">
        <w:rPr>
          <w:rFonts w:ascii="Times New Roman" w:hAnsi="Times New Roman" w:cs="Times New Roman"/>
          <w:sz w:val="20"/>
          <w:szCs w:val="20"/>
        </w:rPr>
        <w:t xml:space="preserve">dla Innowacji pochodzących z UJ: w wersji papierowej w sekretariacie CTT CITTRU lub w formie skanu podpisanego dokumentu na adres e-mail: </w:t>
      </w:r>
      <w:hyperlink r:id="rId11">
        <w:r w:rsidRPr="2B6D1136">
          <w:rPr>
            <w:rStyle w:val="Hipercze"/>
            <w:rFonts w:ascii="Times New Roman" w:hAnsi="Times New Roman" w:cs="Times New Roman"/>
            <w:sz w:val="20"/>
            <w:szCs w:val="20"/>
          </w:rPr>
          <w:t>cittru@uj.edu.pl</w:t>
        </w:r>
      </w:hyperlink>
      <w:r w:rsidRPr="2B6D1136">
        <w:rPr>
          <w:rFonts w:ascii="Times New Roman" w:hAnsi="Times New Roman" w:cs="Times New Roman"/>
          <w:sz w:val="20"/>
          <w:szCs w:val="20"/>
        </w:rPr>
        <w:t>;</w:t>
      </w:r>
    </w:p>
    <w:p w14:paraId="4EE8E860" w14:textId="155F4504" w:rsidR="004412F3" w:rsidRDefault="004412F3" w:rsidP="009813F8">
      <w:pPr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33B6AE82">
        <w:rPr>
          <w:rFonts w:ascii="Times New Roman" w:hAnsi="Times New Roman" w:cs="Times New Roman"/>
          <w:sz w:val="20"/>
          <w:szCs w:val="20"/>
        </w:rPr>
        <w:t xml:space="preserve">dla Innowacji pochodzących z UEK: w wersji papierowej w Dziale Transferu Wiedzy i Projektów  lub w formie skanu podpisanego dokumentu na adres e-mail: </w:t>
      </w:r>
      <w:hyperlink r:id="rId12">
        <w:r w:rsidRPr="33B6AE82">
          <w:rPr>
            <w:rStyle w:val="Hipercze"/>
            <w:rFonts w:ascii="Times New Roman" w:hAnsi="Times New Roman" w:cs="Times New Roman"/>
            <w:sz w:val="20"/>
            <w:szCs w:val="20"/>
          </w:rPr>
          <w:t>malgorzata.smaga-szczepanczyk@uek.krakow.pl</w:t>
        </w:r>
      </w:hyperlink>
      <w:r w:rsidRPr="33B6AE82">
        <w:rPr>
          <w:rFonts w:ascii="Times New Roman" w:hAnsi="Times New Roman" w:cs="Times New Roman"/>
          <w:sz w:val="20"/>
          <w:szCs w:val="20"/>
        </w:rPr>
        <w:t>;</w:t>
      </w:r>
    </w:p>
    <w:p w14:paraId="605F2B27" w14:textId="02E75DA2" w:rsidR="004412F3" w:rsidRDefault="004412F3" w:rsidP="004412F3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33B6AE82">
        <w:rPr>
          <w:rFonts w:ascii="Times New Roman" w:hAnsi="Times New Roman" w:cs="Times New Roman"/>
          <w:sz w:val="20"/>
          <w:szCs w:val="20"/>
        </w:rPr>
        <w:t>przy czym do wniosku należy dołączyć podpisane przez wszystkie wymienione we wniosku osoby, które planuje się zaangażować w realizację prac przedwdrożeniowych, zgody na przetwarzanie danych osobowych, według wzoru stanowiącego załącznik do wzoru wniosku.</w:t>
      </w:r>
      <w:r w:rsidR="4DE668E1" w:rsidRPr="33B6AE82">
        <w:rPr>
          <w:rFonts w:ascii="Times New Roman" w:hAnsi="Times New Roman" w:cs="Times New Roman"/>
          <w:sz w:val="20"/>
          <w:szCs w:val="20"/>
        </w:rPr>
        <w:t xml:space="preserve"> W przypadku złożenia wniosku w formie skanu drogą poczty elektronicznej, wnioskodawca powinien wysłać podpisaną wersję papierową </w:t>
      </w:r>
      <w:r w:rsidR="685F5C72" w:rsidRPr="33B6AE82">
        <w:rPr>
          <w:rFonts w:ascii="Times New Roman" w:hAnsi="Times New Roman" w:cs="Times New Roman"/>
          <w:sz w:val="20"/>
          <w:szCs w:val="20"/>
        </w:rPr>
        <w:t>odpowiednio do sekretariatu CTT CITTRU lub Działu Transferu Wiedzy</w:t>
      </w:r>
      <w:r w:rsidRPr="33B6AE82">
        <w:rPr>
          <w:rFonts w:ascii="Times New Roman" w:hAnsi="Times New Roman" w:cs="Times New Roman"/>
          <w:sz w:val="20"/>
          <w:szCs w:val="20"/>
        </w:rPr>
        <w:t xml:space="preserve"> </w:t>
      </w:r>
      <w:r w:rsidR="03889A46" w:rsidRPr="33B6AE82">
        <w:rPr>
          <w:rFonts w:ascii="Times New Roman" w:hAnsi="Times New Roman" w:cs="Times New Roman"/>
          <w:sz w:val="20"/>
          <w:szCs w:val="20"/>
        </w:rPr>
        <w:t>i Projektów  w terminie 30 dni od dnia zakończenia naboru.</w:t>
      </w:r>
      <w:r w:rsidRPr="33B6AE82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30E5FAC1" w14:textId="2C0CD770" w:rsidR="00ED72D3" w:rsidRDefault="00ED72D3" w:rsidP="009813F8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3E27B689">
        <w:rPr>
          <w:rFonts w:ascii="Times New Roman" w:hAnsi="Times New Roman" w:cs="Times New Roman"/>
          <w:sz w:val="20"/>
          <w:szCs w:val="20"/>
        </w:rPr>
        <w:t xml:space="preserve">Dyrektor </w:t>
      </w:r>
      <w:r w:rsidR="004136FA" w:rsidRPr="3E27B689">
        <w:rPr>
          <w:rFonts w:ascii="Times New Roman" w:hAnsi="Times New Roman" w:cs="Times New Roman"/>
          <w:sz w:val="20"/>
          <w:szCs w:val="20"/>
        </w:rPr>
        <w:t xml:space="preserve">oraz Prezes (w przypadku wniosków składanych przez zespoły </w:t>
      </w:r>
      <w:r w:rsidR="008C7D7E" w:rsidRPr="3E27B689">
        <w:rPr>
          <w:rFonts w:ascii="Times New Roman" w:hAnsi="Times New Roman" w:cs="Times New Roman"/>
          <w:sz w:val="20"/>
          <w:szCs w:val="20"/>
        </w:rPr>
        <w:t xml:space="preserve">badawcze z UJ) </w:t>
      </w:r>
      <w:r w:rsidR="004136FA" w:rsidRPr="3E27B689">
        <w:rPr>
          <w:rFonts w:ascii="Times New Roman" w:hAnsi="Times New Roman" w:cs="Times New Roman"/>
          <w:sz w:val="20"/>
          <w:szCs w:val="20"/>
        </w:rPr>
        <w:t xml:space="preserve">albo </w:t>
      </w:r>
      <w:r w:rsidR="00CF5F79" w:rsidRPr="3E27B689">
        <w:rPr>
          <w:rFonts w:ascii="Times New Roman" w:hAnsi="Times New Roman" w:cs="Times New Roman"/>
          <w:sz w:val="20"/>
          <w:szCs w:val="20"/>
        </w:rPr>
        <w:t>Prorektor</w:t>
      </w:r>
      <w:r w:rsidR="001F2C4E" w:rsidRPr="3E27B689">
        <w:rPr>
          <w:rFonts w:ascii="Times New Roman" w:hAnsi="Times New Roman" w:cs="Times New Roman"/>
          <w:sz w:val="20"/>
          <w:szCs w:val="20"/>
        </w:rPr>
        <w:t xml:space="preserve"> </w:t>
      </w:r>
      <w:r w:rsidR="005B63BB" w:rsidRPr="3E27B689">
        <w:rPr>
          <w:rFonts w:ascii="Times New Roman" w:hAnsi="Times New Roman" w:cs="Times New Roman"/>
          <w:sz w:val="20"/>
          <w:szCs w:val="20"/>
        </w:rPr>
        <w:t>lub osoba przez niego wskazana</w:t>
      </w:r>
      <w:r w:rsidR="008C7D7E" w:rsidRPr="3E27B689">
        <w:rPr>
          <w:rFonts w:ascii="Times New Roman" w:hAnsi="Times New Roman" w:cs="Times New Roman"/>
          <w:sz w:val="20"/>
          <w:szCs w:val="20"/>
        </w:rPr>
        <w:t xml:space="preserve"> (w przypadku wniosków składanych przez zespoły badawcze z UEK)</w:t>
      </w:r>
      <w:r w:rsidR="005B63BB" w:rsidRPr="3E27B689">
        <w:rPr>
          <w:rFonts w:ascii="Times New Roman" w:hAnsi="Times New Roman" w:cs="Times New Roman"/>
          <w:sz w:val="20"/>
          <w:szCs w:val="20"/>
        </w:rPr>
        <w:t xml:space="preserve"> </w:t>
      </w:r>
      <w:r w:rsidR="00BB5257" w:rsidRPr="3E27B689">
        <w:rPr>
          <w:rFonts w:ascii="Times New Roman" w:hAnsi="Times New Roman" w:cs="Times New Roman"/>
          <w:sz w:val="20"/>
          <w:szCs w:val="20"/>
        </w:rPr>
        <w:t xml:space="preserve">w terminie </w:t>
      </w:r>
      <w:r w:rsidR="00E66833" w:rsidRPr="3E27B689">
        <w:rPr>
          <w:rFonts w:ascii="Times New Roman" w:hAnsi="Times New Roman" w:cs="Times New Roman"/>
          <w:sz w:val="20"/>
          <w:szCs w:val="20"/>
        </w:rPr>
        <w:t>7</w:t>
      </w:r>
      <w:r w:rsidR="0025131A" w:rsidRPr="3E27B689">
        <w:rPr>
          <w:rFonts w:ascii="Times New Roman" w:hAnsi="Times New Roman" w:cs="Times New Roman"/>
          <w:sz w:val="20"/>
          <w:szCs w:val="20"/>
        </w:rPr>
        <w:t xml:space="preserve"> dni od zakończenia naboru wniosków</w:t>
      </w:r>
      <w:r w:rsidRPr="3E27B689">
        <w:rPr>
          <w:rFonts w:ascii="Times New Roman" w:hAnsi="Times New Roman" w:cs="Times New Roman"/>
          <w:sz w:val="20"/>
          <w:szCs w:val="20"/>
        </w:rPr>
        <w:t xml:space="preserve"> wydaj</w:t>
      </w:r>
      <w:r w:rsidR="006E2B77" w:rsidRPr="3E27B689">
        <w:rPr>
          <w:rFonts w:ascii="Times New Roman" w:hAnsi="Times New Roman" w:cs="Times New Roman"/>
          <w:sz w:val="20"/>
          <w:szCs w:val="20"/>
        </w:rPr>
        <w:t>ą własne</w:t>
      </w:r>
      <w:r w:rsidRPr="3E27B689">
        <w:rPr>
          <w:rFonts w:ascii="Times New Roman" w:hAnsi="Times New Roman" w:cs="Times New Roman"/>
          <w:sz w:val="20"/>
          <w:szCs w:val="20"/>
        </w:rPr>
        <w:t xml:space="preserve"> </w:t>
      </w:r>
      <w:r w:rsidR="006E2B77" w:rsidRPr="3E27B689">
        <w:rPr>
          <w:rFonts w:ascii="Times New Roman" w:hAnsi="Times New Roman" w:cs="Times New Roman"/>
          <w:sz w:val="20"/>
          <w:szCs w:val="20"/>
        </w:rPr>
        <w:t>opini</w:t>
      </w:r>
      <w:r w:rsidR="00C76F7A" w:rsidRPr="3E27B689">
        <w:rPr>
          <w:rFonts w:ascii="Times New Roman" w:hAnsi="Times New Roman" w:cs="Times New Roman"/>
          <w:sz w:val="20"/>
          <w:szCs w:val="20"/>
        </w:rPr>
        <w:t>e</w:t>
      </w:r>
      <w:r w:rsidRPr="3E27B689">
        <w:rPr>
          <w:rFonts w:ascii="Times New Roman" w:hAnsi="Times New Roman" w:cs="Times New Roman"/>
          <w:sz w:val="20"/>
          <w:szCs w:val="20"/>
        </w:rPr>
        <w:t xml:space="preserve"> </w:t>
      </w:r>
      <w:r w:rsidR="006E2B77" w:rsidRPr="3E27B689">
        <w:rPr>
          <w:rFonts w:ascii="Times New Roman" w:hAnsi="Times New Roman" w:cs="Times New Roman"/>
          <w:sz w:val="20"/>
          <w:szCs w:val="20"/>
        </w:rPr>
        <w:t>w sprawie złożonych wniosków. Opinie te traktowane są jako głos doradczy</w:t>
      </w:r>
      <w:r w:rsidR="0025131A" w:rsidRPr="3E27B689">
        <w:rPr>
          <w:rFonts w:ascii="Times New Roman" w:hAnsi="Times New Roman" w:cs="Times New Roman"/>
          <w:sz w:val="20"/>
          <w:szCs w:val="20"/>
        </w:rPr>
        <w:t>.</w:t>
      </w:r>
      <w:r w:rsidRPr="3E27B68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30BCE4" w14:textId="089C7FFC" w:rsidR="006E2B77" w:rsidRDefault="006E2B77" w:rsidP="00026D7E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2FBE2E27">
        <w:rPr>
          <w:rFonts w:ascii="Times New Roman" w:hAnsi="Times New Roman" w:cs="Times New Roman"/>
          <w:sz w:val="20"/>
          <w:szCs w:val="20"/>
        </w:rPr>
        <w:t xml:space="preserve">Opinie, o których mowa w pkt. </w:t>
      </w:r>
      <w:r w:rsidR="004E6A9A">
        <w:rPr>
          <w:rFonts w:ascii="Times New Roman" w:hAnsi="Times New Roman" w:cs="Times New Roman"/>
          <w:sz w:val="20"/>
          <w:szCs w:val="20"/>
        </w:rPr>
        <w:t>II.8</w:t>
      </w:r>
      <w:r w:rsidR="004E6A9A" w:rsidRPr="2FBE2E27">
        <w:rPr>
          <w:rFonts w:ascii="Times New Roman" w:hAnsi="Times New Roman" w:cs="Times New Roman"/>
          <w:sz w:val="20"/>
          <w:szCs w:val="20"/>
        </w:rPr>
        <w:t xml:space="preserve"> </w:t>
      </w:r>
      <w:r w:rsidR="00ED72D3" w:rsidRPr="2FBE2E27">
        <w:rPr>
          <w:rFonts w:ascii="Times New Roman" w:hAnsi="Times New Roman" w:cs="Times New Roman"/>
          <w:sz w:val="20"/>
          <w:szCs w:val="20"/>
        </w:rPr>
        <w:t xml:space="preserve">wraz </w:t>
      </w:r>
      <w:r w:rsidRPr="2FBE2E27">
        <w:rPr>
          <w:rFonts w:ascii="Times New Roman" w:hAnsi="Times New Roman" w:cs="Times New Roman"/>
          <w:sz w:val="20"/>
          <w:szCs w:val="20"/>
        </w:rPr>
        <w:t>z</w:t>
      </w:r>
      <w:r w:rsidR="00ED72D3" w:rsidRPr="2FBE2E27">
        <w:rPr>
          <w:rFonts w:ascii="Times New Roman" w:hAnsi="Times New Roman" w:cs="Times New Roman"/>
          <w:sz w:val="20"/>
          <w:szCs w:val="20"/>
        </w:rPr>
        <w:t xml:space="preserve"> wnioskami złożonymi przez zespoły badawcze są przekazywane każdemu z członków Rady</w:t>
      </w:r>
      <w:r w:rsidR="002510C8" w:rsidRPr="2FBE2E27">
        <w:rPr>
          <w:rFonts w:ascii="Times New Roman" w:hAnsi="Times New Roman" w:cs="Times New Roman"/>
          <w:sz w:val="20"/>
          <w:szCs w:val="20"/>
        </w:rPr>
        <w:t>. Dyrektor w porozumieniu z członkami Rady</w:t>
      </w:r>
      <w:r w:rsidR="00041926" w:rsidRPr="2FBE2E27">
        <w:rPr>
          <w:rFonts w:ascii="Times New Roman" w:hAnsi="Times New Roman" w:cs="Times New Roman"/>
          <w:sz w:val="20"/>
          <w:szCs w:val="20"/>
        </w:rPr>
        <w:t>, Prezesem</w:t>
      </w:r>
      <w:r w:rsidR="002510C8" w:rsidRPr="2FBE2E27">
        <w:rPr>
          <w:rFonts w:ascii="Times New Roman" w:hAnsi="Times New Roman" w:cs="Times New Roman"/>
          <w:sz w:val="20"/>
          <w:szCs w:val="20"/>
        </w:rPr>
        <w:t xml:space="preserve"> </w:t>
      </w:r>
      <w:r w:rsidR="007F50D6" w:rsidRPr="2FBE2E27">
        <w:rPr>
          <w:rFonts w:ascii="Times New Roman" w:hAnsi="Times New Roman" w:cs="Times New Roman"/>
          <w:sz w:val="20"/>
          <w:szCs w:val="20"/>
        </w:rPr>
        <w:t>i</w:t>
      </w:r>
      <w:r w:rsidR="00CF5F79" w:rsidRPr="2FBE2E27">
        <w:rPr>
          <w:rFonts w:ascii="Times New Roman" w:hAnsi="Times New Roman" w:cs="Times New Roman"/>
          <w:sz w:val="20"/>
          <w:szCs w:val="20"/>
        </w:rPr>
        <w:t xml:space="preserve"> Prorektorem</w:t>
      </w:r>
      <w:r w:rsidR="002F0540" w:rsidRPr="2FBE2E27">
        <w:rPr>
          <w:rFonts w:ascii="Times New Roman" w:hAnsi="Times New Roman" w:cs="Times New Roman"/>
          <w:sz w:val="20"/>
          <w:szCs w:val="20"/>
        </w:rPr>
        <w:t xml:space="preserve"> </w:t>
      </w:r>
      <w:r w:rsidR="006B6C58">
        <w:rPr>
          <w:rFonts w:ascii="Times New Roman" w:hAnsi="Times New Roman" w:cs="Times New Roman"/>
          <w:sz w:val="20"/>
          <w:szCs w:val="20"/>
        </w:rPr>
        <w:t xml:space="preserve">(lub osobą </w:t>
      </w:r>
      <w:r w:rsidR="006B6C58">
        <w:rPr>
          <w:rFonts w:ascii="Times New Roman" w:hAnsi="Times New Roman" w:cs="Times New Roman"/>
          <w:sz w:val="20"/>
          <w:szCs w:val="20"/>
        </w:rPr>
        <w:lastRenderedPageBreak/>
        <w:t xml:space="preserve">przez niego wskazaną) </w:t>
      </w:r>
      <w:r w:rsidR="002F0540" w:rsidRPr="2FBE2E27">
        <w:rPr>
          <w:rFonts w:ascii="Times New Roman" w:hAnsi="Times New Roman" w:cs="Times New Roman"/>
          <w:sz w:val="20"/>
          <w:szCs w:val="20"/>
        </w:rPr>
        <w:t>u</w:t>
      </w:r>
      <w:r w:rsidR="002510C8" w:rsidRPr="2FBE2E27">
        <w:rPr>
          <w:rFonts w:ascii="Times New Roman" w:hAnsi="Times New Roman" w:cs="Times New Roman"/>
          <w:sz w:val="20"/>
          <w:szCs w:val="20"/>
        </w:rPr>
        <w:t xml:space="preserve">stala termin posiedzenia, podczas którego </w:t>
      </w:r>
      <w:r w:rsidR="00AB5731" w:rsidRPr="2FBE2E27">
        <w:rPr>
          <w:rFonts w:ascii="Times New Roman" w:hAnsi="Times New Roman" w:cs="Times New Roman"/>
          <w:sz w:val="20"/>
          <w:szCs w:val="20"/>
        </w:rPr>
        <w:t>przedst</w:t>
      </w:r>
      <w:r w:rsidR="0027474C" w:rsidRPr="2FBE2E27">
        <w:rPr>
          <w:rFonts w:ascii="Times New Roman" w:hAnsi="Times New Roman" w:cs="Times New Roman"/>
          <w:sz w:val="20"/>
          <w:szCs w:val="20"/>
        </w:rPr>
        <w:t>awiciel zespołu badawczego UJ lub UEK oraz Koordynator</w:t>
      </w:r>
      <w:r w:rsidR="007F50D6" w:rsidRPr="2FBE2E27">
        <w:rPr>
          <w:rFonts w:ascii="Times New Roman" w:hAnsi="Times New Roman" w:cs="Times New Roman"/>
          <w:sz w:val="20"/>
          <w:szCs w:val="20"/>
        </w:rPr>
        <w:t xml:space="preserve"> </w:t>
      </w:r>
      <w:r w:rsidR="00AB5731" w:rsidRPr="2FBE2E27">
        <w:rPr>
          <w:rFonts w:ascii="Times New Roman" w:hAnsi="Times New Roman" w:cs="Times New Roman"/>
          <w:sz w:val="20"/>
          <w:szCs w:val="20"/>
        </w:rPr>
        <w:t>prezentuje Innowację i planowane działania</w:t>
      </w:r>
      <w:r w:rsidR="00E66833" w:rsidRPr="2FBE2E27">
        <w:rPr>
          <w:rFonts w:ascii="Times New Roman" w:hAnsi="Times New Roman" w:cs="Times New Roman"/>
          <w:sz w:val="20"/>
          <w:szCs w:val="20"/>
        </w:rPr>
        <w:t>.</w:t>
      </w:r>
      <w:r w:rsidR="00AB5731" w:rsidRPr="2FBE2E27">
        <w:rPr>
          <w:rFonts w:ascii="Times New Roman" w:hAnsi="Times New Roman" w:cs="Times New Roman"/>
          <w:sz w:val="20"/>
          <w:szCs w:val="20"/>
        </w:rPr>
        <w:t xml:space="preserve"> Podczas posiedzenia Rada podejmuj</w:t>
      </w:r>
      <w:r w:rsidR="007F50D6" w:rsidRPr="2FBE2E27">
        <w:rPr>
          <w:rFonts w:ascii="Times New Roman" w:hAnsi="Times New Roman" w:cs="Times New Roman"/>
          <w:sz w:val="20"/>
          <w:szCs w:val="20"/>
        </w:rPr>
        <w:t>e</w:t>
      </w:r>
      <w:r w:rsidR="00AB5731" w:rsidRPr="2FBE2E27">
        <w:rPr>
          <w:rFonts w:ascii="Times New Roman" w:hAnsi="Times New Roman" w:cs="Times New Roman"/>
          <w:sz w:val="20"/>
          <w:szCs w:val="20"/>
        </w:rPr>
        <w:t xml:space="preserve"> decyzję o przyznaniu dofinansowania lub odrzuceniu Wniosku</w:t>
      </w:r>
      <w:r w:rsidR="008D392F" w:rsidRPr="008D392F">
        <w:t xml:space="preserve"> </w:t>
      </w:r>
      <w:r w:rsidR="008D392F" w:rsidRPr="008D392F">
        <w:rPr>
          <w:rFonts w:ascii="Times New Roman" w:hAnsi="Times New Roman" w:cs="Times New Roman"/>
          <w:sz w:val="20"/>
          <w:szCs w:val="20"/>
        </w:rPr>
        <w:t>w oparciu o informacje zawarte we wniosku</w:t>
      </w:r>
      <w:r w:rsidR="00862A5A">
        <w:rPr>
          <w:rFonts w:ascii="Times New Roman" w:hAnsi="Times New Roman" w:cs="Times New Roman"/>
          <w:sz w:val="20"/>
          <w:szCs w:val="20"/>
        </w:rPr>
        <w:t>, prezentację Innowacji i planowanych działań</w:t>
      </w:r>
      <w:r w:rsidR="004E6A9A">
        <w:rPr>
          <w:rFonts w:ascii="Times New Roman" w:hAnsi="Times New Roman" w:cs="Times New Roman"/>
          <w:sz w:val="20"/>
          <w:szCs w:val="20"/>
        </w:rPr>
        <w:t xml:space="preserve"> oraz opinie o których mowa w pkt II.8.</w:t>
      </w:r>
      <w:r w:rsidR="008D392F" w:rsidRPr="008D392F">
        <w:rPr>
          <w:rFonts w:ascii="Times New Roman" w:hAnsi="Times New Roman" w:cs="Times New Roman"/>
          <w:sz w:val="20"/>
          <w:szCs w:val="20"/>
        </w:rPr>
        <w:t xml:space="preserve"> oraz o przyznawane </w:t>
      </w:r>
      <w:r w:rsidR="004B778C">
        <w:rPr>
          <w:rFonts w:ascii="Times New Roman" w:hAnsi="Times New Roman" w:cs="Times New Roman"/>
          <w:sz w:val="20"/>
          <w:szCs w:val="20"/>
        </w:rPr>
        <w:t xml:space="preserve">na ich podstawie </w:t>
      </w:r>
      <w:r w:rsidR="008D392F" w:rsidRPr="008D392F">
        <w:rPr>
          <w:rFonts w:ascii="Times New Roman" w:hAnsi="Times New Roman" w:cs="Times New Roman"/>
          <w:sz w:val="20"/>
          <w:szCs w:val="20"/>
        </w:rPr>
        <w:t>przez każdego członka Rady niezależnie punkty odnoszące się do kryteriów oceny, o których mowa poniżej</w:t>
      </w:r>
      <w:r w:rsidR="004E6A9A">
        <w:rPr>
          <w:rFonts w:ascii="Times New Roman" w:hAnsi="Times New Roman" w:cs="Times New Roman"/>
          <w:sz w:val="20"/>
          <w:szCs w:val="20"/>
        </w:rPr>
        <w:t>.</w:t>
      </w:r>
    </w:p>
    <w:p w14:paraId="5245E954" w14:textId="0564D355" w:rsidR="00B4078B" w:rsidRDefault="004B778C" w:rsidP="009813F8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3E27B689">
        <w:rPr>
          <w:rFonts w:ascii="Times New Roman" w:hAnsi="Times New Roman" w:cs="Times New Roman"/>
          <w:sz w:val="20"/>
          <w:szCs w:val="20"/>
        </w:rPr>
        <w:t>Kryteria oceny Wniosku są następujące:</w:t>
      </w:r>
    </w:p>
    <w:p w14:paraId="74A5DE6B" w14:textId="3147B78F" w:rsidR="002333C9" w:rsidRDefault="002333C9" w:rsidP="009813F8">
      <w:pPr>
        <w:numPr>
          <w:ilvl w:val="1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Kryterium 1 – ocena innowacyjność rozwiązania w kontekście zapotrzebowania rynku na produkt/usługę bazującą na </w:t>
      </w:r>
      <w:r w:rsidR="000F7AE5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nnowacji </w:t>
      </w:r>
      <w:r w:rsidR="000F7AE5">
        <w:rPr>
          <w:rFonts w:ascii="Times New Roman" w:hAnsi="Times New Roman" w:cs="Times New Roman"/>
          <w:sz w:val="20"/>
          <w:szCs w:val="20"/>
        </w:rPr>
        <w:t>(od 0 do 6 pkt)</w:t>
      </w:r>
      <w:r w:rsidR="00645137">
        <w:rPr>
          <w:rFonts w:ascii="Times New Roman" w:hAnsi="Times New Roman" w:cs="Times New Roman"/>
          <w:sz w:val="20"/>
          <w:szCs w:val="20"/>
        </w:rPr>
        <w:t xml:space="preserve">, przy czym kluczowym i docelowym odbiorcą Innowacji ma być podmiot inny </w:t>
      </w:r>
      <w:r w:rsidR="00A75F5F">
        <w:rPr>
          <w:rFonts w:ascii="Times New Roman" w:hAnsi="Times New Roman" w:cs="Times New Roman"/>
          <w:sz w:val="20"/>
          <w:szCs w:val="20"/>
        </w:rPr>
        <w:t xml:space="preserve">niż </w:t>
      </w:r>
      <w:r w:rsidR="00645137">
        <w:rPr>
          <w:rFonts w:ascii="Times New Roman" w:hAnsi="Times New Roman" w:cs="Times New Roman"/>
          <w:sz w:val="20"/>
          <w:szCs w:val="20"/>
        </w:rPr>
        <w:t xml:space="preserve">UJ, UEK lub </w:t>
      </w:r>
      <w:proofErr w:type="spellStart"/>
      <w:r w:rsidR="00645137">
        <w:rPr>
          <w:rFonts w:ascii="Times New Roman" w:hAnsi="Times New Roman" w:cs="Times New Roman"/>
          <w:sz w:val="20"/>
          <w:szCs w:val="20"/>
        </w:rPr>
        <w:t>InnoCel</w:t>
      </w:r>
      <w:proofErr w:type="spellEnd"/>
      <w:r w:rsidR="00645137">
        <w:rPr>
          <w:rFonts w:ascii="Times New Roman" w:hAnsi="Times New Roman" w:cs="Times New Roman"/>
          <w:sz w:val="20"/>
          <w:szCs w:val="20"/>
        </w:rPr>
        <w:t xml:space="preserve"> (wykluczone są projekty, których rezultaty są skierowane tylko do społeczności akademickiej UJ i UEK)</w:t>
      </w:r>
    </w:p>
    <w:p w14:paraId="37C64618" w14:textId="1F8EA840" w:rsidR="002333C9" w:rsidRDefault="002333C9" w:rsidP="009813F8">
      <w:pPr>
        <w:numPr>
          <w:ilvl w:val="1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Kryterium 2 – </w:t>
      </w:r>
      <w:r w:rsidR="000F7AE5">
        <w:rPr>
          <w:rFonts w:ascii="Times New Roman" w:hAnsi="Times New Roman" w:cs="Times New Roman"/>
          <w:sz w:val="20"/>
          <w:szCs w:val="20"/>
        </w:rPr>
        <w:t xml:space="preserve">ocena </w:t>
      </w:r>
      <w:r>
        <w:rPr>
          <w:rFonts w:ascii="Times New Roman" w:hAnsi="Times New Roman" w:cs="Times New Roman"/>
          <w:sz w:val="20"/>
          <w:szCs w:val="20"/>
        </w:rPr>
        <w:t>poziom</w:t>
      </w:r>
      <w:r w:rsidR="000F7AE5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gotowości technologicznej </w:t>
      </w:r>
      <w:r w:rsidR="000F7AE5">
        <w:rPr>
          <w:rFonts w:ascii="Times New Roman" w:hAnsi="Times New Roman" w:cs="Times New Roman"/>
          <w:sz w:val="20"/>
          <w:szCs w:val="20"/>
        </w:rPr>
        <w:t>Innowacji wg skali TRL (</w:t>
      </w:r>
      <w:r w:rsidR="00645137">
        <w:rPr>
          <w:rFonts w:ascii="Times New Roman" w:hAnsi="Times New Roman" w:cs="Times New Roman"/>
          <w:sz w:val="20"/>
          <w:szCs w:val="20"/>
        </w:rPr>
        <w:t xml:space="preserve">jeśli we wniosku nie wskazano poziomu TRL wówczas w tym kryterium otrzymuje się 0 pkt, jeśli wskazano wówczas: </w:t>
      </w:r>
      <w:r w:rsidR="000C74A4">
        <w:rPr>
          <w:rFonts w:ascii="Times New Roman" w:hAnsi="Times New Roman" w:cs="Times New Roman"/>
          <w:sz w:val="20"/>
          <w:szCs w:val="20"/>
        </w:rPr>
        <w:t xml:space="preserve">dla </w:t>
      </w:r>
      <w:r w:rsidR="001D7FFB">
        <w:rPr>
          <w:rFonts w:ascii="Times New Roman" w:hAnsi="Times New Roman" w:cs="Times New Roman"/>
          <w:sz w:val="20"/>
          <w:szCs w:val="20"/>
        </w:rPr>
        <w:t>TRL 1-2</w:t>
      </w:r>
      <w:r w:rsidR="00645137">
        <w:rPr>
          <w:rFonts w:ascii="Times New Roman" w:hAnsi="Times New Roman" w:cs="Times New Roman"/>
          <w:sz w:val="20"/>
          <w:szCs w:val="20"/>
        </w:rPr>
        <w:t xml:space="preserve"> przyznaje się 1 </w:t>
      </w:r>
      <w:proofErr w:type="spellStart"/>
      <w:r w:rsidR="00645137">
        <w:rPr>
          <w:rFonts w:ascii="Times New Roman" w:hAnsi="Times New Roman" w:cs="Times New Roman"/>
          <w:sz w:val="20"/>
          <w:szCs w:val="20"/>
        </w:rPr>
        <w:t>pkt,</w:t>
      </w:r>
      <w:r w:rsidR="001D7FFB">
        <w:rPr>
          <w:rFonts w:ascii="Times New Roman" w:hAnsi="Times New Roman" w:cs="Times New Roman"/>
          <w:sz w:val="20"/>
          <w:szCs w:val="20"/>
        </w:rPr>
        <w:t>dla</w:t>
      </w:r>
      <w:proofErr w:type="spellEnd"/>
      <w:r w:rsidR="001D7FFB">
        <w:rPr>
          <w:rFonts w:ascii="Times New Roman" w:hAnsi="Times New Roman" w:cs="Times New Roman"/>
          <w:sz w:val="20"/>
          <w:szCs w:val="20"/>
        </w:rPr>
        <w:t xml:space="preserve"> TR</w:t>
      </w:r>
      <w:r w:rsidR="00866E6F">
        <w:rPr>
          <w:rFonts w:ascii="Times New Roman" w:hAnsi="Times New Roman" w:cs="Times New Roman"/>
          <w:sz w:val="20"/>
          <w:szCs w:val="20"/>
        </w:rPr>
        <w:t xml:space="preserve">L </w:t>
      </w:r>
      <w:r w:rsidR="00B92C13">
        <w:rPr>
          <w:rFonts w:ascii="Times New Roman" w:hAnsi="Times New Roman" w:cs="Times New Roman"/>
          <w:sz w:val="20"/>
          <w:szCs w:val="20"/>
        </w:rPr>
        <w:t>3-</w:t>
      </w:r>
      <w:r w:rsidR="00A36158">
        <w:rPr>
          <w:rFonts w:ascii="Times New Roman" w:hAnsi="Times New Roman" w:cs="Times New Roman"/>
          <w:sz w:val="20"/>
          <w:szCs w:val="20"/>
        </w:rPr>
        <w:t>4</w:t>
      </w:r>
      <w:r w:rsidR="00645137">
        <w:rPr>
          <w:rFonts w:ascii="Times New Roman" w:hAnsi="Times New Roman" w:cs="Times New Roman"/>
          <w:sz w:val="20"/>
          <w:szCs w:val="20"/>
        </w:rPr>
        <w:t xml:space="preserve"> przyznaje się 2 pkt</w:t>
      </w:r>
      <w:r w:rsidR="00B92C13">
        <w:rPr>
          <w:rFonts w:ascii="Times New Roman" w:hAnsi="Times New Roman" w:cs="Times New Roman"/>
          <w:sz w:val="20"/>
          <w:szCs w:val="20"/>
        </w:rPr>
        <w:t xml:space="preserve"> </w:t>
      </w:r>
      <w:r w:rsidR="0051344F">
        <w:rPr>
          <w:rFonts w:ascii="Times New Roman" w:hAnsi="Times New Roman" w:cs="Times New Roman"/>
          <w:sz w:val="20"/>
          <w:szCs w:val="20"/>
        </w:rPr>
        <w:t>dla T</w:t>
      </w:r>
      <w:r w:rsidR="009F31E8">
        <w:rPr>
          <w:rFonts w:ascii="Times New Roman" w:hAnsi="Times New Roman" w:cs="Times New Roman"/>
          <w:sz w:val="20"/>
          <w:szCs w:val="20"/>
        </w:rPr>
        <w:t xml:space="preserve">RL </w:t>
      </w:r>
      <w:r w:rsidR="00F85B4D">
        <w:rPr>
          <w:rFonts w:ascii="Times New Roman" w:hAnsi="Times New Roman" w:cs="Times New Roman"/>
          <w:sz w:val="20"/>
          <w:szCs w:val="20"/>
        </w:rPr>
        <w:t>5-9</w:t>
      </w:r>
      <w:r w:rsidR="00645137">
        <w:rPr>
          <w:rFonts w:ascii="Times New Roman" w:hAnsi="Times New Roman" w:cs="Times New Roman"/>
          <w:sz w:val="20"/>
          <w:szCs w:val="20"/>
        </w:rPr>
        <w:t xml:space="preserve"> – przyznaje się 3 pkt</w:t>
      </w:r>
      <w:r w:rsidR="00AD044E">
        <w:rPr>
          <w:rFonts w:ascii="Times New Roman" w:hAnsi="Times New Roman" w:cs="Times New Roman"/>
          <w:sz w:val="20"/>
          <w:szCs w:val="20"/>
        </w:rPr>
        <w:t>)</w:t>
      </w:r>
    </w:p>
    <w:p w14:paraId="5BA2B261" w14:textId="3ED952F3" w:rsidR="002333C9" w:rsidRDefault="002333C9" w:rsidP="009813F8">
      <w:pPr>
        <w:numPr>
          <w:ilvl w:val="1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2FBE2E27">
        <w:rPr>
          <w:rFonts w:ascii="Times New Roman" w:hAnsi="Times New Roman" w:cs="Times New Roman"/>
          <w:sz w:val="20"/>
          <w:szCs w:val="20"/>
        </w:rPr>
        <w:t>Kryterium 3 – plany zespołu dotyczące założenia spółki</w:t>
      </w:r>
      <w:r w:rsidR="000F7AE5" w:rsidRPr="2FBE2E27">
        <w:rPr>
          <w:rFonts w:ascii="Times New Roman" w:hAnsi="Times New Roman" w:cs="Times New Roman"/>
          <w:sz w:val="20"/>
          <w:szCs w:val="20"/>
        </w:rPr>
        <w:t xml:space="preserve"> </w:t>
      </w:r>
      <w:r w:rsidR="00173969" w:rsidRPr="2FBE2E27">
        <w:rPr>
          <w:rFonts w:ascii="Times New Roman" w:hAnsi="Times New Roman" w:cs="Times New Roman"/>
          <w:sz w:val="20"/>
          <w:szCs w:val="20"/>
        </w:rPr>
        <w:t xml:space="preserve">typu spin </w:t>
      </w:r>
      <w:r w:rsidR="000F7AE5" w:rsidRPr="2FBE2E27">
        <w:rPr>
          <w:rFonts w:ascii="Times New Roman" w:hAnsi="Times New Roman" w:cs="Times New Roman"/>
          <w:sz w:val="20"/>
          <w:szCs w:val="20"/>
        </w:rPr>
        <w:t>z uwzględnieniem</w:t>
      </w:r>
      <w:r w:rsidRPr="2FBE2E27">
        <w:rPr>
          <w:rFonts w:ascii="Times New Roman" w:hAnsi="Times New Roman" w:cs="Times New Roman"/>
          <w:sz w:val="20"/>
          <w:szCs w:val="20"/>
        </w:rPr>
        <w:t xml:space="preserve"> poziom</w:t>
      </w:r>
      <w:r w:rsidR="000F7AE5" w:rsidRPr="2FBE2E27">
        <w:rPr>
          <w:rFonts w:ascii="Times New Roman" w:hAnsi="Times New Roman" w:cs="Times New Roman"/>
          <w:sz w:val="20"/>
          <w:szCs w:val="20"/>
        </w:rPr>
        <w:t>u</w:t>
      </w:r>
      <w:r w:rsidRPr="2FBE2E27">
        <w:rPr>
          <w:rFonts w:ascii="Times New Roman" w:hAnsi="Times New Roman" w:cs="Times New Roman"/>
          <w:sz w:val="20"/>
          <w:szCs w:val="20"/>
        </w:rPr>
        <w:t xml:space="preserve"> zaawansowania prac związanych z założeniem spółki</w:t>
      </w:r>
      <w:r w:rsidR="000F7AE5" w:rsidRPr="2FBE2E27">
        <w:rPr>
          <w:rFonts w:ascii="Times New Roman" w:hAnsi="Times New Roman" w:cs="Times New Roman"/>
          <w:sz w:val="20"/>
          <w:szCs w:val="20"/>
        </w:rPr>
        <w:t xml:space="preserve"> (od 0 do 2 pkt – 0,5 pkt gdy spółka jest planowana ale nie podjęto żadnych działań, 1 gdy przygotowano już biznes</w:t>
      </w:r>
      <w:r w:rsidR="00173969" w:rsidRPr="2FBE2E27">
        <w:rPr>
          <w:rFonts w:ascii="Times New Roman" w:hAnsi="Times New Roman" w:cs="Times New Roman"/>
          <w:sz w:val="20"/>
          <w:szCs w:val="20"/>
        </w:rPr>
        <w:t xml:space="preserve"> </w:t>
      </w:r>
      <w:r w:rsidR="000F7AE5" w:rsidRPr="2FBE2E27">
        <w:rPr>
          <w:rFonts w:ascii="Times New Roman" w:hAnsi="Times New Roman" w:cs="Times New Roman"/>
          <w:sz w:val="20"/>
          <w:szCs w:val="20"/>
        </w:rPr>
        <w:t xml:space="preserve">plan </w:t>
      </w:r>
      <w:r w:rsidR="00173969" w:rsidRPr="2FBE2E27">
        <w:rPr>
          <w:rFonts w:ascii="Times New Roman" w:hAnsi="Times New Roman" w:cs="Times New Roman"/>
          <w:sz w:val="20"/>
          <w:szCs w:val="20"/>
        </w:rPr>
        <w:t xml:space="preserve">lub </w:t>
      </w:r>
      <w:r w:rsidR="000F7AE5" w:rsidRPr="2FBE2E27">
        <w:rPr>
          <w:rFonts w:ascii="Times New Roman" w:hAnsi="Times New Roman" w:cs="Times New Roman"/>
          <w:sz w:val="20"/>
          <w:szCs w:val="20"/>
        </w:rPr>
        <w:t xml:space="preserve">model biznesowy </w:t>
      </w:r>
      <w:r w:rsidR="00173969" w:rsidRPr="2FBE2E27">
        <w:rPr>
          <w:rFonts w:ascii="Times New Roman" w:hAnsi="Times New Roman" w:cs="Times New Roman"/>
          <w:sz w:val="20"/>
          <w:szCs w:val="20"/>
        </w:rPr>
        <w:t xml:space="preserve">spółki </w:t>
      </w:r>
      <w:r w:rsidR="000F7AE5" w:rsidRPr="2FBE2E27">
        <w:rPr>
          <w:rFonts w:ascii="Times New Roman" w:hAnsi="Times New Roman" w:cs="Times New Roman"/>
          <w:sz w:val="20"/>
          <w:szCs w:val="20"/>
        </w:rPr>
        <w:t xml:space="preserve">– należy go dołączyć do wniosku, 2 istnieje potencjalny inwestor – należy dołączyć </w:t>
      </w:r>
      <w:r w:rsidR="006451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5137" w:rsidRPr="003F182C">
        <w:rPr>
          <w:rFonts w:ascii="Times New Roman" w:hAnsi="Times New Roman" w:cs="Times New Roman"/>
          <w:i/>
          <w:iCs/>
          <w:sz w:val="20"/>
          <w:szCs w:val="20"/>
        </w:rPr>
        <w:t>therm</w:t>
      </w:r>
      <w:proofErr w:type="spellEnd"/>
      <w:r w:rsidR="00645137" w:rsidRPr="003F182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645137" w:rsidRPr="003F182C">
        <w:rPr>
          <w:rFonts w:ascii="Times New Roman" w:hAnsi="Times New Roman" w:cs="Times New Roman"/>
          <w:i/>
          <w:iCs/>
          <w:sz w:val="20"/>
          <w:szCs w:val="20"/>
        </w:rPr>
        <w:t>sheet</w:t>
      </w:r>
      <w:proofErr w:type="spellEnd"/>
      <w:r w:rsidR="00645137">
        <w:rPr>
          <w:rFonts w:ascii="Times New Roman" w:hAnsi="Times New Roman" w:cs="Times New Roman"/>
          <w:sz w:val="20"/>
          <w:szCs w:val="20"/>
        </w:rPr>
        <w:t xml:space="preserve"> lub inny dokument potwierdzający planowaną inwestycję kapitałową</w:t>
      </w:r>
      <w:r w:rsidR="000F7AE5" w:rsidRPr="2FBE2E27">
        <w:rPr>
          <w:rFonts w:ascii="Times New Roman" w:hAnsi="Times New Roman" w:cs="Times New Roman"/>
          <w:sz w:val="20"/>
          <w:szCs w:val="20"/>
        </w:rPr>
        <w:t xml:space="preserve">) </w:t>
      </w:r>
      <w:r w:rsidRPr="2FBE2E27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63E4CCE0" w14:textId="6673B8EE" w:rsidR="00F33657" w:rsidRDefault="00F30092" w:rsidP="00026D7E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30092">
        <w:rPr>
          <w:rFonts w:ascii="Times New Roman" w:hAnsi="Times New Roman" w:cs="Times New Roman"/>
          <w:sz w:val="20"/>
          <w:szCs w:val="20"/>
        </w:rPr>
        <w:t>Na podstawie przyznanych przez członków Rady i uśrednionych punktów stworzona zostanie lista rankingowa. Dofinansowanie uzyskają projekty z najwyższą notą, do wyczerpania puli środków przeznaczonej na konkurs</w:t>
      </w:r>
      <w:r>
        <w:rPr>
          <w:rFonts w:ascii="Times New Roman" w:hAnsi="Times New Roman" w:cs="Times New Roman"/>
          <w:sz w:val="20"/>
          <w:szCs w:val="20"/>
        </w:rPr>
        <w:t xml:space="preserve">, przy czym </w:t>
      </w:r>
      <w:r w:rsidR="00A26F5E">
        <w:rPr>
          <w:rFonts w:ascii="Times New Roman" w:hAnsi="Times New Roman" w:cs="Times New Roman"/>
          <w:sz w:val="20"/>
          <w:szCs w:val="20"/>
        </w:rPr>
        <w:t xml:space="preserve">dofinansowanie będą mogły uzyskać te Wnioski, których uśredniona liczba przyznanych punktów będzie wynosiła co najmniej </w:t>
      </w:r>
      <w:r w:rsidR="00C92000">
        <w:rPr>
          <w:rFonts w:ascii="Times New Roman" w:hAnsi="Times New Roman" w:cs="Times New Roman"/>
          <w:sz w:val="20"/>
          <w:szCs w:val="20"/>
        </w:rPr>
        <w:t>5</w:t>
      </w:r>
      <w:r w:rsidR="00A26F5E">
        <w:rPr>
          <w:rFonts w:ascii="Times New Roman" w:hAnsi="Times New Roman" w:cs="Times New Roman"/>
          <w:sz w:val="20"/>
          <w:szCs w:val="20"/>
        </w:rPr>
        <w:t xml:space="preserve"> punktów</w:t>
      </w:r>
      <w:r w:rsidR="00645137">
        <w:rPr>
          <w:rFonts w:ascii="Times New Roman" w:hAnsi="Times New Roman" w:cs="Times New Roman"/>
          <w:sz w:val="20"/>
          <w:szCs w:val="20"/>
        </w:rPr>
        <w:t xml:space="preserve"> w przypadku Innowacji UJ i co najmniej 4 pkt w przypadku innowacji UEK</w:t>
      </w:r>
      <w:r w:rsidR="00A26F5E">
        <w:rPr>
          <w:rFonts w:ascii="Times New Roman" w:hAnsi="Times New Roman" w:cs="Times New Roman"/>
          <w:sz w:val="20"/>
          <w:szCs w:val="20"/>
        </w:rPr>
        <w:t>.</w:t>
      </w:r>
    </w:p>
    <w:p w14:paraId="0D8DD682" w14:textId="2E246441" w:rsidR="00495EB1" w:rsidRPr="001E7899" w:rsidRDefault="00495EB1" w:rsidP="009A2368">
      <w:pPr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368">
        <w:rPr>
          <w:rFonts w:ascii="Times New Roman" w:hAnsi="Times New Roman" w:cs="Times New Roman"/>
          <w:sz w:val="20"/>
          <w:szCs w:val="20"/>
        </w:rPr>
        <w:t xml:space="preserve">Przed podjęciem decyzji o dofinansowaniu, </w:t>
      </w:r>
      <w:r w:rsidRPr="001E7899">
        <w:rPr>
          <w:rFonts w:ascii="Times New Roman" w:hAnsi="Times New Roman" w:cs="Times New Roman"/>
          <w:sz w:val="20"/>
          <w:szCs w:val="20"/>
        </w:rPr>
        <w:t>Rada może zasięgać opinii Dziekana wydziału lub Kierownika jednostki pozawydziałowej, jednostki międzywydziałowej,</w:t>
      </w:r>
      <w:r w:rsidRPr="00C429A9">
        <w:rPr>
          <w:rFonts w:ascii="Times New Roman" w:hAnsi="Times New Roman" w:cs="Times New Roman"/>
          <w:sz w:val="20"/>
          <w:szCs w:val="20"/>
        </w:rPr>
        <w:t xml:space="preserve"> jednostki międzyuczelnianej lub jednostki wspólnej, z której pochodzi zespół badawczy</w:t>
      </w:r>
      <w:r w:rsidR="001E7899">
        <w:rPr>
          <w:rFonts w:ascii="Times New Roman" w:hAnsi="Times New Roman" w:cs="Times New Roman"/>
          <w:sz w:val="20"/>
          <w:szCs w:val="20"/>
        </w:rPr>
        <w:t xml:space="preserve"> składający Wniosek</w:t>
      </w:r>
      <w:r w:rsidRPr="001E7899">
        <w:rPr>
          <w:rFonts w:ascii="Times New Roman" w:hAnsi="Times New Roman" w:cs="Times New Roman"/>
          <w:sz w:val="20"/>
          <w:szCs w:val="20"/>
        </w:rPr>
        <w:t>.</w:t>
      </w:r>
    </w:p>
    <w:p w14:paraId="01D19CC0" w14:textId="5BA4FF58" w:rsidR="00ED72D3" w:rsidRPr="00DA3158" w:rsidRDefault="00ED72D3" w:rsidP="009813F8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3E27B689">
        <w:rPr>
          <w:rFonts w:ascii="Times New Roman" w:hAnsi="Times New Roman" w:cs="Times New Roman"/>
          <w:sz w:val="20"/>
          <w:szCs w:val="20"/>
        </w:rPr>
        <w:t xml:space="preserve">Decyzja </w:t>
      </w:r>
      <w:r w:rsidR="002333C9" w:rsidRPr="3E27B689">
        <w:rPr>
          <w:rFonts w:ascii="Times New Roman" w:hAnsi="Times New Roman" w:cs="Times New Roman"/>
          <w:sz w:val="20"/>
          <w:szCs w:val="20"/>
        </w:rPr>
        <w:t xml:space="preserve">Rady </w:t>
      </w:r>
      <w:r w:rsidRPr="3E27B689">
        <w:rPr>
          <w:rFonts w:ascii="Times New Roman" w:hAnsi="Times New Roman" w:cs="Times New Roman"/>
          <w:sz w:val="20"/>
          <w:szCs w:val="20"/>
        </w:rPr>
        <w:t>jest ostateczna, nie podlega odwołaniu i jest niezwłocznie przekazywana Kierownikowi przez Dyrektora</w:t>
      </w:r>
      <w:r w:rsidR="001D6036" w:rsidRPr="3E27B689">
        <w:rPr>
          <w:rFonts w:ascii="Times New Roman" w:hAnsi="Times New Roman" w:cs="Times New Roman"/>
          <w:sz w:val="20"/>
          <w:szCs w:val="20"/>
        </w:rPr>
        <w:t xml:space="preserve"> lub odpowiednio Prorektora (lub osobę przez niego wskazaną)</w:t>
      </w:r>
      <w:r w:rsidRPr="3E27B68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BCA629D" w14:textId="77777777" w:rsidR="00E5543A" w:rsidRDefault="00E5543A" w:rsidP="00E5543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BB2EE0" w14:textId="7E4AA86F" w:rsidR="00E5543A" w:rsidRPr="009813F8" w:rsidRDefault="00E5543A" w:rsidP="009813F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3F8">
        <w:rPr>
          <w:rFonts w:ascii="Times New Roman" w:hAnsi="Times New Roman" w:cs="Times New Roman"/>
          <w:b/>
          <w:bCs/>
          <w:sz w:val="24"/>
          <w:szCs w:val="24"/>
        </w:rPr>
        <w:t>III. Realizacja prac przedwdrożeniowych</w:t>
      </w:r>
    </w:p>
    <w:p w14:paraId="077E9FC6" w14:textId="46231096" w:rsidR="00884BEE" w:rsidRPr="00884BEE" w:rsidRDefault="00884BEE" w:rsidP="009813F8">
      <w:pPr>
        <w:numPr>
          <w:ilvl w:val="0"/>
          <w:numId w:val="15"/>
        </w:numPr>
        <w:tabs>
          <w:tab w:val="left" w:pos="426"/>
        </w:tabs>
        <w:spacing w:after="0" w:line="360" w:lineRule="auto"/>
        <w:jc w:val="both"/>
        <w:rPr>
          <w:sz w:val="20"/>
          <w:szCs w:val="20"/>
        </w:rPr>
      </w:pPr>
      <w:r w:rsidRPr="3E27B689">
        <w:rPr>
          <w:rFonts w:ascii="Times New Roman" w:hAnsi="Times New Roman" w:cs="Times New Roman"/>
          <w:sz w:val="20"/>
          <w:szCs w:val="20"/>
        </w:rPr>
        <w:t>Wydatki, o których mowa w pkt 9 muszą być ponoszone</w:t>
      </w:r>
      <w:r w:rsidR="49DD15E0" w:rsidRPr="3E27B689">
        <w:rPr>
          <w:rFonts w:ascii="Times New Roman" w:hAnsi="Times New Roman" w:cs="Times New Roman"/>
          <w:sz w:val="20"/>
          <w:szCs w:val="20"/>
        </w:rPr>
        <w:t xml:space="preserve"> </w:t>
      </w:r>
      <w:r w:rsidR="49DD15E0" w:rsidRPr="00D40EB7">
        <w:rPr>
          <w:rFonts w:ascii="Times New Roman" w:hAnsi="Times New Roman" w:cs="Times New Roman"/>
          <w:sz w:val="20"/>
          <w:szCs w:val="20"/>
        </w:rPr>
        <w:t xml:space="preserve">zgodnie z przeznaczeniem, w sposób racjonalny, celowy i oszczędny, </w:t>
      </w:r>
      <w:r w:rsidRPr="00D40EB7">
        <w:rPr>
          <w:rFonts w:ascii="Times New Roman" w:hAnsi="Times New Roman" w:cs="Times New Roman"/>
          <w:sz w:val="20"/>
          <w:szCs w:val="20"/>
        </w:rPr>
        <w:t>zgodnie z wymaganiami</w:t>
      </w:r>
      <w:r w:rsidRPr="3E27B689">
        <w:rPr>
          <w:rFonts w:ascii="Times New Roman" w:hAnsi="Times New Roman" w:cs="Times New Roman"/>
          <w:sz w:val="20"/>
          <w:szCs w:val="20"/>
        </w:rPr>
        <w:t xml:space="preserve"> określonymi przez </w:t>
      </w:r>
      <w:proofErr w:type="spellStart"/>
      <w:r w:rsidRPr="3E27B689">
        <w:rPr>
          <w:rFonts w:ascii="Times New Roman" w:hAnsi="Times New Roman" w:cs="Times New Roman"/>
          <w:sz w:val="20"/>
          <w:szCs w:val="20"/>
        </w:rPr>
        <w:t>MNiSW</w:t>
      </w:r>
      <w:proofErr w:type="spellEnd"/>
      <w:r w:rsidRPr="3E27B689">
        <w:rPr>
          <w:rFonts w:ascii="Times New Roman" w:hAnsi="Times New Roman" w:cs="Times New Roman"/>
          <w:sz w:val="20"/>
          <w:szCs w:val="20"/>
        </w:rPr>
        <w:t xml:space="preserve"> w dokumentacji dotyczącej konkursu Inkubator Innowacyjności 4.0 oraz zgodnie z wewnętrznymi procedurami UJ lub UEK, w tym regulacjami dotyczącymi zamówień publicznych i mogą być ponoszone od 1 </w:t>
      </w:r>
      <w:r w:rsidR="00645137">
        <w:rPr>
          <w:rFonts w:ascii="Times New Roman" w:hAnsi="Times New Roman" w:cs="Times New Roman"/>
          <w:sz w:val="20"/>
          <w:szCs w:val="20"/>
        </w:rPr>
        <w:t xml:space="preserve"> </w:t>
      </w:r>
      <w:r w:rsidR="00E279C5">
        <w:rPr>
          <w:rFonts w:ascii="Times New Roman" w:hAnsi="Times New Roman" w:cs="Times New Roman"/>
          <w:sz w:val="20"/>
          <w:szCs w:val="20"/>
        </w:rPr>
        <w:t>sierpnia</w:t>
      </w:r>
      <w:r w:rsidRPr="3E27B689">
        <w:rPr>
          <w:rFonts w:ascii="Times New Roman" w:hAnsi="Times New Roman" w:cs="Times New Roman"/>
          <w:sz w:val="20"/>
          <w:szCs w:val="20"/>
        </w:rPr>
        <w:t xml:space="preserve"> 2021 do 30 </w:t>
      </w:r>
      <w:r w:rsidR="00645137">
        <w:rPr>
          <w:rFonts w:ascii="Times New Roman" w:hAnsi="Times New Roman" w:cs="Times New Roman"/>
          <w:sz w:val="20"/>
          <w:szCs w:val="20"/>
        </w:rPr>
        <w:t xml:space="preserve">września </w:t>
      </w:r>
      <w:r w:rsidRPr="3E27B689">
        <w:rPr>
          <w:rFonts w:ascii="Times New Roman" w:hAnsi="Times New Roman" w:cs="Times New Roman"/>
          <w:sz w:val="20"/>
          <w:szCs w:val="20"/>
        </w:rPr>
        <w:t xml:space="preserve"> 2022 roku. W ramach kategorii „Wynagrodzenia” wypłata środków będzie możliwa jedynie w przypadku osób, których łączne miesięczne zaangażowanie zawodowe (także poza UJ lub UEK) nie przekroczy 276 godzin (osoba uzyskująca wynagrodzenie będzie zobligowania do podpisywania stosownych oświadczeń w tym zakresie – przykładowy wzór oświadczenia stanowi Załącznik nr 3). Zespół realizujący prace </w:t>
      </w:r>
      <w:r w:rsidRPr="3E27B689">
        <w:rPr>
          <w:rFonts w:ascii="Times New Roman" w:hAnsi="Times New Roman" w:cs="Times New Roman"/>
          <w:sz w:val="20"/>
          <w:szCs w:val="20"/>
        </w:rPr>
        <w:lastRenderedPageBreak/>
        <w:t xml:space="preserve">przedwdrożeniowe na prośbę odpowiednio CTT CITTRU lub </w:t>
      </w:r>
      <w:proofErr w:type="spellStart"/>
      <w:r w:rsidRPr="3E27B689">
        <w:rPr>
          <w:rFonts w:ascii="Times New Roman" w:hAnsi="Times New Roman" w:cs="Times New Roman"/>
          <w:sz w:val="20"/>
          <w:szCs w:val="20"/>
        </w:rPr>
        <w:t>DTWiP</w:t>
      </w:r>
      <w:proofErr w:type="spellEnd"/>
      <w:r w:rsidRPr="3E27B689">
        <w:rPr>
          <w:rFonts w:ascii="Times New Roman" w:hAnsi="Times New Roman" w:cs="Times New Roman"/>
          <w:sz w:val="20"/>
          <w:szCs w:val="20"/>
        </w:rPr>
        <w:t xml:space="preserve"> jest zobligowany do przygotowania i przedłożenia dokumentacji niezbędnej do realizacji zaplanowanych we wniosku wydatków (np. specyfikacji warunków zamówienia) i rozliczenia/zakwalifikowania tych wydatków w Projekcie.  </w:t>
      </w:r>
    </w:p>
    <w:p w14:paraId="0F1F668D" w14:textId="230184D5" w:rsidR="00884BEE" w:rsidRPr="00026D7E" w:rsidRDefault="00884BEE" w:rsidP="009813F8">
      <w:pPr>
        <w:numPr>
          <w:ilvl w:val="0"/>
          <w:numId w:val="1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3E27B689">
        <w:rPr>
          <w:rFonts w:ascii="Times New Roman" w:hAnsi="Times New Roman" w:cs="Times New Roman"/>
          <w:sz w:val="20"/>
          <w:szCs w:val="20"/>
        </w:rPr>
        <w:t>Własność intelektualna wytworzona w ramach prac przedwdrożeniowych, w szczególności wyniki badań, prawa do patentu, know-how, autorskie prawa majątkowe do raportów, będzie należeć do UJ lub UEK.</w:t>
      </w:r>
    </w:p>
    <w:p w14:paraId="61773509" w14:textId="6209055B" w:rsidR="00ED72D3" w:rsidRDefault="00ED72D3" w:rsidP="009813F8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3E27B689">
        <w:rPr>
          <w:rFonts w:ascii="Times New Roman" w:hAnsi="Times New Roman" w:cs="Times New Roman"/>
          <w:sz w:val="20"/>
          <w:szCs w:val="20"/>
        </w:rPr>
        <w:t xml:space="preserve">W ciągu 10 dni roboczych od zakończenia prac przedwdrożeniowych, na które przyznane zostało dofinansowanie, Kierownik składa do Dyrektora </w:t>
      </w:r>
      <w:r w:rsidR="00041926" w:rsidRPr="3E27B689">
        <w:rPr>
          <w:rFonts w:ascii="Times New Roman" w:hAnsi="Times New Roman" w:cs="Times New Roman"/>
          <w:sz w:val="20"/>
          <w:szCs w:val="20"/>
        </w:rPr>
        <w:t xml:space="preserve">lub </w:t>
      </w:r>
      <w:r w:rsidR="00054284" w:rsidRPr="3E27B689">
        <w:rPr>
          <w:rFonts w:ascii="Times New Roman" w:hAnsi="Times New Roman" w:cs="Times New Roman"/>
          <w:sz w:val="20"/>
          <w:szCs w:val="20"/>
        </w:rPr>
        <w:t>Prorektora</w:t>
      </w:r>
      <w:r w:rsidR="00DF3028" w:rsidRPr="3E27B689">
        <w:rPr>
          <w:rFonts w:ascii="Times New Roman" w:hAnsi="Times New Roman" w:cs="Times New Roman"/>
          <w:sz w:val="20"/>
          <w:szCs w:val="20"/>
        </w:rPr>
        <w:t xml:space="preserve"> (lub osoby przez ni</w:t>
      </w:r>
      <w:r w:rsidR="006656C8" w:rsidRPr="3E27B689">
        <w:rPr>
          <w:rFonts w:ascii="Times New Roman" w:hAnsi="Times New Roman" w:cs="Times New Roman"/>
          <w:sz w:val="20"/>
          <w:szCs w:val="20"/>
        </w:rPr>
        <w:t>eg</w:t>
      </w:r>
      <w:r w:rsidR="00DE4D0A" w:rsidRPr="3E27B689">
        <w:rPr>
          <w:rFonts w:ascii="Times New Roman" w:hAnsi="Times New Roman" w:cs="Times New Roman"/>
          <w:sz w:val="20"/>
          <w:szCs w:val="20"/>
        </w:rPr>
        <w:t>o</w:t>
      </w:r>
      <w:r w:rsidR="00DF3028" w:rsidRPr="3E27B689">
        <w:rPr>
          <w:rFonts w:ascii="Times New Roman" w:hAnsi="Times New Roman" w:cs="Times New Roman"/>
          <w:sz w:val="20"/>
          <w:szCs w:val="20"/>
        </w:rPr>
        <w:t xml:space="preserve"> </w:t>
      </w:r>
      <w:r w:rsidR="00DE4D0A" w:rsidRPr="3E27B689">
        <w:rPr>
          <w:rFonts w:ascii="Times New Roman" w:hAnsi="Times New Roman" w:cs="Times New Roman"/>
          <w:sz w:val="20"/>
          <w:szCs w:val="20"/>
        </w:rPr>
        <w:t>w</w:t>
      </w:r>
      <w:r w:rsidR="00DF3028" w:rsidRPr="3E27B689">
        <w:rPr>
          <w:rFonts w:ascii="Times New Roman" w:hAnsi="Times New Roman" w:cs="Times New Roman"/>
          <w:sz w:val="20"/>
          <w:szCs w:val="20"/>
        </w:rPr>
        <w:t>skazanej)</w:t>
      </w:r>
      <w:r w:rsidR="00054284" w:rsidRPr="3E27B689">
        <w:rPr>
          <w:rFonts w:ascii="Times New Roman" w:hAnsi="Times New Roman" w:cs="Times New Roman"/>
          <w:sz w:val="20"/>
          <w:szCs w:val="20"/>
        </w:rPr>
        <w:t xml:space="preserve"> </w:t>
      </w:r>
      <w:r w:rsidRPr="3E27B689">
        <w:rPr>
          <w:rFonts w:ascii="Times New Roman" w:hAnsi="Times New Roman" w:cs="Times New Roman"/>
          <w:sz w:val="20"/>
          <w:szCs w:val="20"/>
        </w:rPr>
        <w:t>sprawozdanie z wykonanych działań, którego</w:t>
      </w:r>
      <w:r w:rsidR="00F41DC3" w:rsidRPr="3E27B689">
        <w:rPr>
          <w:rFonts w:ascii="Times New Roman" w:hAnsi="Times New Roman" w:cs="Times New Roman"/>
          <w:sz w:val="20"/>
          <w:szCs w:val="20"/>
        </w:rPr>
        <w:t xml:space="preserve"> wzór stanowi Załącznik nr </w:t>
      </w:r>
      <w:r w:rsidR="00000B0F" w:rsidRPr="3E27B689">
        <w:rPr>
          <w:rFonts w:ascii="Times New Roman" w:hAnsi="Times New Roman" w:cs="Times New Roman"/>
          <w:sz w:val="20"/>
          <w:szCs w:val="20"/>
        </w:rPr>
        <w:t>4</w:t>
      </w:r>
      <w:r w:rsidRPr="3E27B689">
        <w:rPr>
          <w:rFonts w:ascii="Times New Roman" w:hAnsi="Times New Roman" w:cs="Times New Roman"/>
          <w:sz w:val="20"/>
          <w:szCs w:val="20"/>
        </w:rPr>
        <w:t xml:space="preserve"> do niniejszej procedury. </w:t>
      </w:r>
      <w:r w:rsidR="005C4BFA" w:rsidRPr="3E27B689">
        <w:rPr>
          <w:rFonts w:ascii="Times New Roman" w:hAnsi="Times New Roman" w:cs="Times New Roman"/>
          <w:sz w:val="20"/>
          <w:szCs w:val="20"/>
        </w:rPr>
        <w:t>Kierownik jest zobowiązany do złożenia sprawozdania również w przypadku przerwania lub wcześniejszego zakończenia prac przedwdrożeniowych.</w:t>
      </w:r>
    </w:p>
    <w:p w14:paraId="353A7875" w14:textId="77777777" w:rsidR="00ED72D3" w:rsidRPr="004E2B00" w:rsidRDefault="00ED72D3" w:rsidP="009813F8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3E27B689">
        <w:rPr>
          <w:rFonts w:ascii="Times New Roman" w:hAnsi="Times New Roman" w:cs="Times New Roman"/>
          <w:sz w:val="20"/>
          <w:szCs w:val="20"/>
        </w:rPr>
        <w:t xml:space="preserve">Na etapie rozliczania działań objętych dofinansowaniem obsługę finansowo-księgową zapewnia administracja CTT CITTRU </w:t>
      </w:r>
      <w:r w:rsidR="00041926" w:rsidRPr="3E27B689">
        <w:rPr>
          <w:rFonts w:ascii="Times New Roman" w:hAnsi="Times New Roman" w:cs="Times New Roman"/>
          <w:sz w:val="20"/>
          <w:szCs w:val="20"/>
        </w:rPr>
        <w:t xml:space="preserve">lub administracja UEK </w:t>
      </w:r>
      <w:r w:rsidRPr="3E27B689">
        <w:rPr>
          <w:rFonts w:ascii="Times New Roman" w:hAnsi="Times New Roman" w:cs="Times New Roman"/>
          <w:sz w:val="20"/>
          <w:szCs w:val="20"/>
        </w:rPr>
        <w:t>przy wsparciu jednostki organizacyjnej, z której pochodzi zespół badawczy oraz jednostek administracji ogólnouczelnianej zgodnie z „Instrukcją obiegu dokumentów finansowo-księgowych Uniwersytetu Jagiellońskiego”</w:t>
      </w:r>
      <w:r w:rsidR="00041926" w:rsidRPr="3E27B689">
        <w:rPr>
          <w:rFonts w:ascii="Times New Roman" w:hAnsi="Times New Roman" w:cs="Times New Roman"/>
          <w:sz w:val="20"/>
          <w:szCs w:val="20"/>
        </w:rPr>
        <w:t xml:space="preserve"> (dla Innowacji UJ) lub</w:t>
      </w:r>
      <w:r w:rsidR="00EB7CBE" w:rsidRPr="3E27B689">
        <w:rPr>
          <w:rFonts w:ascii="Times New Roman" w:hAnsi="Times New Roman" w:cs="Times New Roman"/>
          <w:sz w:val="20"/>
          <w:szCs w:val="20"/>
        </w:rPr>
        <w:t xml:space="preserve"> zgodnie </w:t>
      </w:r>
      <w:r>
        <w:br/>
      </w:r>
      <w:r w:rsidR="00EB7CBE" w:rsidRPr="3E27B689">
        <w:rPr>
          <w:rFonts w:ascii="Times New Roman" w:hAnsi="Times New Roman" w:cs="Times New Roman"/>
          <w:sz w:val="20"/>
          <w:szCs w:val="20"/>
        </w:rPr>
        <w:t>z Zarządzeniem Rektora UEK nr R-0201/44/2018 dotyczącym wprowadzenia Instrukcji sporządzania, obiegu i kontroli dokumentów księgowych w Uniwersytecie Ekonomicznym w Krakowie (dla Innowacji UEK).</w:t>
      </w:r>
    </w:p>
    <w:p w14:paraId="1F2BF759" w14:textId="77777777" w:rsidR="00ED72D3" w:rsidRDefault="00ED72D3" w:rsidP="009813F8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3E27B689">
        <w:rPr>
          <w:rFonts w:ascii="Times New Roman" w:hAnsi="Times New Roman" w:cs="Times New Roman"/>
          <w:sz w:val="20"/>
          <w:szCs w:val="20"/>
        </w:rPr>
        <w:t xml:space="preserve">Za prawidłowe wykonanie działań objętych dofinansowaniem, przestrzeganie limitów budżetowych zawartych w kosztorysie oraz zapisanych terminów realizacji zadań wraz z terminowym ponoszeniem kosztów przypisanych do zadań, zapewnienie zgodności sposobu realizacji wydatków z procedurami określonymi w ustawie Prawo zamówień publicznych oraz zapewnienie zgodności realizacji działań </w:t>
      </w:r>
      <w:r>
        <w:br/>
      </w:r>
      <w:r w:rsidRPr="3E27B689">
        <w:rPr>
          <w:rFonts w:ascii="Times New Roman" w:hAnsi="Times New Roman" w:cs="Times New Roman"/>
          <w:sz w:val="20"/>
          <w:szCs w:val="20"/>
        </w:rPr>
        <w:t>z wewnętrznymi uregulowaniami obowiązującymi w UJ</w:t>
      </w:r>
      <w:r w:rsidR="00041926" w:rsidRPr="3E27B689">
        <w:rPr>
          <w:rFonts w:ascii="Times New Roman" w:hAnsi="Times New Roman" w:cs="Times New Roman"/>
          <w:sz w:val="20"/>
          <w:szCs w:val="20"/>
        </w:rPr>
        <w:t xml:space="preserve"> lub UEK</w:t>
      </w:r>
      <w:r w:rsidRPr="3E27B689">
        <w:rPr>
          <w:rFonts w:ascii="Times New Roman" w:hAnsi="Times New Roman" w:cs="Times New Roman"/>
          <w:sz w:val="20"/>
          <w:szCs w:val="20"/>
        </w:rPr>
        <w:t xml:space="preserve">, w szczególności w zakresie wykorzystania infrastruktury badawczej, praw własności intelektualnej, odpowiada Kierownik. </w:t>
      </w:r>
    </w:p>
    <w:p w14:paraId="74BCD8D0" w14:textId="77777777" w:rsidR="00ED72D3" w:rsidRDefault="00ED72D3" w:rsidP="009813F8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3E27B689">
        <w:rPr>
          <w:rFonts w:ascii="Times New Roman" w:hAnsi="Times New Roman" w:cs="Times New Roman"/>
          <w:sz w:val="20"/>
          <w:szCs w:val="20"/>
        </w:rPr>
        <w:t xml:space="preserve">Kierownik jest zobowiązany do </w:t>
      </w:r>
      <w:r w:rsidR="00D3571A" w:rsidRPr="3E27B689">
        <w:rPr>
          <w:rFonts w:ascii="Times New Roman" w:hAnsi="Times New Roman" w:cs="Times New Roman"/>
          <w:sz w:val="20"/>
          <w:szCs w:val="20"/>
        </w:rPr>
        <w:t xml:space="preserve">współpracy z </w:t>
      </w:r>
      <w:r w:rsidR="0027474C" w:rsidRPr="3E27B689">
        <w:rPr>
          <w:rFonts w:ascii="Times New Roman" w:hAnsi="Times New Roman" w:cs="Times New Roman"/>
          <w:sz w:val="20"/>
          <w:szCs w:val="20"/>
        </w:rPr>
        <w:t xml:space="preserve">Koordynatorem </w:t>
      </w:r>
      <w:r w:rsidR="00D3571A" w:rsidRPr="3E27B689">
        <w:rPr>
          <w:rFonts w:ascii="Times New Roman" w:hAnsi="Times New Roman" w:cs="Times New Roman"/>
          <w:sz w:val="20"/>
          <w:szCs w:val="20"/>
        </w:rPr>
        <w:t xml:space="preserve">w trakcie realizacji prac przedwdrożeniowych, w tym </w:t>
      </w:r>
      <w:r w:rsidRPr="3E27B689">
        <w:rPr>
          <w:rFonts w:ascii="Times New Roman" w:hAnsi="Times New Roman" w:cs="Times New Roman"/>
          <w:sz w:val="20"/>
          <w:szCs w:val="20"/>
        </w:rPr>
        <w:t xml:space="preserve">udzielania </w:t>
      </w:r>
      <w:r w:rsidR="0027474C" w:rsidRPr="3E27B689">
        <w:rPr>
          <w:rFonts w:ascii="Times New Roman" w:hAnsi="Times New Roman" w:cs="Times New Roman"/>
          <w:sz w:val="20"/>
          <w:szCs w:val="20"/>
        </w:rPr>
        <w:t>Koordynatorowi</w:t>
      </w:r>
      <w:r w:rsidRPr="3E27B689">
        <w:rPr>
          <w:rFonts w:ascii="Times New Roman" w:hAnsi="Times New Roman" w:cs="Times New Roman"/>
          <w:sz w:val="20"/>
          <w:szCs w:val="20"/>
        </w:rPr>
        <w:t xml:space="preserve"> na jego prośbę wszelkich informacji o postępach i przebiegu realizowanych zadań</w:t>
      </w:r>
      <w:r w:rsidR="003C45B9" w:rsidRPr="3E27B689">
        <w:rPr>
          <w:rFonts w:ascii="Times New Roman" w:hAnsi="Times New Roman" w:cs="Times New Roman"/>
          <w:sz w:val="20"/>
          <w:szCs w:val="20"/>
        </w:rPr>
        <w:t xml:space="preserve"> oraz współudziału w przygotowaniu materiałów promocyjnych i procesie komercjalizacji, w szczególności w rozmowach z podmiotami zainteresowanymi komercjalizacją lub praktycznym wykorzystaniem Innowacji</w:t>
      </w:r>
      <w:r w:rsidRPr="3E27B689">
        <w:rPr>
          <w:rFonts w:ascii="Times New Roman" w:hAnsi="Times New Roman" w:cs="Times New Roman"/>
          <w:sz w:val="20"/>
          <w:szCs w:val="20"/>
        </w:rPr>
        <w:t>.</w:t>
      </w:r>
    </w:p>
    <w:p w14:paraId="0BD68858" w14:textId="2F6550C8" w:rsidR="00ED72D3" w:rsidRDefault="00ED72D3" w:rsidP="009813F8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434" w:hanging="434"/>
        <w:jc w:val="both"/>
        <w:rPr>
          <w:rFonts w:ascii="Times New Roman" w:hAnsi="Times New Roman" w:cs="Times New Roman"/>
          <w:sz w:val="20"/>
          <w:szCs w:val="20"/>
        </w:rPr>
      </w:pPr>
      <w:r w:rsidRPr="3E27B689">
        <w:rPr>
          <w:rFonts w:ascii="Times New Roman" w:hAnsi="Times New Roman" w:cs="Times New Roman"/>
          <w:sz w:val="20"/>
          <w:szCs w:val="20"/>
        </w:rPr>
        <w:t xml:space="preserve">Tak szybko jak to możliwe Kierownik jest zobowiązany do zgłoszenia do Dyrektora </w:t>
      </w:r>
      <w:r w:rsidR="0027474C" w:rsidRPr="3E27B689">
        <w:rPr>
          <w:rFonts w:ascii="Times New Roman" w:hAnsi="Times New Roman" w:cs="Times New Roman"/>
          <w:sz w:val="20"/>
          <w:szCs w:val="20"/>
        </w:rPr>
        <w:t xml:space="preserve">lub </w:t>
      </w:r>
      <w:r w:rsidR="00054284" w:rsidRPr="3E27B689">
        <w:rPr>
          <w:rFonts w:ascii="Times New Roman" w:hAnsi="Times New Roman" w:cs="Times New Roman"/>
          <w:sz w:val="20"/>
          <w:szCs w:val="20"/>
        </w:rPr>
        <w:t>Prorektora</w:t>
      </w:r>
      <w:r w:rsidR="001F2C4E" w:rsidRPr="3E27B689">
        <w:rPr>
          <w:rFonts w:ascii="Times New Roman" w:hAnsi="Times New Roman" w:cs="Times New Roman"/>
          <w:sz w:val="20"/>
          <w:szCs w:val="20"/>
        </w:rPr>
        <w:t xml:space="preserve"> </w:t>
      </w:r>
      <w:r w:rsidR="00DC10F2" w:rsidRPr="3E27B689">
        <w:rPr>
          <w:rFonts w:ascii="Times New Roman" w:hAnsi="Times New Roman" w:cs="Times New Roman"/>
          <w:sz w:val="20"/>
          <w:szCs w:val="20"/>
        </w:rPr>
        <w:t xml:space="preserve">(lub osoby przez niego wskazanej) </w:t>
      </w:r>
      <w:r w:rsidRPr="3E27B689">
        <w:rPr>
          <w:rFonts w:ascii="Times New Roman" w:hAnsi="Times New Roman" w:cs="Times New Roman"/>
          <w:sz w:val="20"/>
          <w:szCs w:val="20"/>
        </w:rPr>
        <w:t>w formie pisemnej (dopuszcza się korespondencję elektroniczną) p</w:t>
      </w:r>
      <w:r w:rsidR="00D3571A" w:rsidRPr="3E27B689">
        <w:rPr>
          <w:rFonts w:ascii="Times New Roman" w:hAnsi="Times New Roman" w:cs="Times New Roman"/>
          <w:sz w:val="20"/>
          <w:szCs w:val="20"/>
        </w:rPr>
        <w:t>roblemów związanych z realizacją</w:t>
      </w:r>
      <w:r w:rsidRPr="3E27B689">
        <w:rPr>
          <w:rFonts w:ascii="Times New Roman" w:hAnsi="Times New Roman" w:cs="Times New Roman"/>
          <w:sz w:val="20"/>
          <w:szCs w:val="20"/>
        </w:rPr>
        <w:t xml:space="preserve"> prac przedwdrożeniowych w celu znalezienia rozwiązania oraz ustalenia ewentualnych zmian w kosztorysie lub harmonogramie.</w:t>
      </w:r>
    </w:p>
    <w:p w14:paraId="40395749" w14:textId="07602C56" w:rsidR="00A23644" w:rsidRDefault="00ED72D3" w:rsidP="009813F8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3E27B689">
        <w:rPr>
          <w:rFonts w:ascii="Times New Roman" w:hAnsi="Times New Roman" w:cs="Times New Roman"/>
          <w:sz w:val="20"/>
          <w:szCs w:val="20"/>
        </w:rPr>
        <w:t>Kierownik na żądanie Dyrektora</w:t>
      </w:r>
      <w:r w:rsidR="00054284" w:rsidRPr="3E27B689">
        <w:rPr>
          <w:rFonts w:ascii="Times New Roman" w:hAnsi="Times New Roman" w:cs="Times New Roman"/>
          <w:sz w:val="20"/>
          <w:szCs w:val="20"/>
        </w:rPr>
        <w:t>, Prorektora</w:t>
      </w:r>
      <w:r w:rsidR="001F2C4E" w:rsidRPr="3E27B689">
        <w:rPr>
          <w:rFonts w:ascii="Times New Roman" w:hAnsi="Times New Roman" w:cs="Times New Roman"/>
          <w:sz w:val="20"/>
          <w:szCs w:val="20"/>
        </w:rPr>
        <w:t xml:space="preserve"> </w:t>
      </w:r>
      <w:r w:rsidR="00DC10F2" w:rsidRPr="3E27B689">
        <w:rPr>
          <w:rFonts w:ascii="Times New Roman" w:hAnsi="Times New Roman" w:cs="Times New Roman"/>
          <w:sz w:val="20"/>
          <w:szCs w:val="20"/>
        </w:rPr>
        <w:t>(</w:t>
      </w:r>
      <w:r w:rsidR="00F2780E" w:rsidRPr="3E27B689">
        <w:rPr>
          <w:rFonts w:ascii="Times New Roman" w:hAnsi="Times New Roman" w:cs="Times New Roman"/>
          <w:sz w:val="20"/>
          <w:szCs w:val="20"/>
        </w:rPr>
        <w:t xml:space="preserve">lub osoby przez niego wskazanej) </w:t>
      </w:r>
      <w:r w:rsidRPr="3E27B689">
        <w:rPr>
          <w:rFonts w:ascii="Times New Roman" w:hAnsi="Times New Roman" w:cs="Times New Roman"/>
          <w:sz w:val="20"/>
          <w:szCs w:val="20"/>
        </w:rPr>
        <w:t xml:space="preserve">lub Rady przedstawi we wskazanym terminie raport lub prezentację dotyczące zrealizowanych prac przedwdrożeniowych, również w trakcie realizacji tych prac, przy czym termin, o którym mowa, nie może być krótszy niż </w:t>
      </w:r>
      <w:r w:rsidR="00E66833" w:rsidRPr="3E27B689">
        <w:rPr>
          <w:rFonts w:ascii="Times New Roman" w:hAnsi="Times New Roman" w:cs="Times New Roman"/>
          <w:sz w:val="20"/>
          <w:szCs w:val="20"/>
        </w:rPr>
        <w:t xml:space="preserve">14 </w:t>
      </w:r>
      <w:r w:rsidRPr="3E27B689">
        <w:rPr>
          <w:rFonts w:ascii="Times New Roman" w:hAnsi="Times New Roman" w:cs="Times New Roman"/>
          <w:sz w:val="20"/>
          <w:szCs w:val="20"/>
        </w:rPr>
        <w:t xml:space="preserve">dni roboczych. </w:t>
      </w:r>
    </w:p>
    <w:p w14:paraId="72D651A6" w14:textId="12C1D149" w:rsidR="00ED72D3" w:rsidRDefault="00A23644" w:rsidP="009813F8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3E27B689">
        <w:rPr>
          <w:rFonts w:ascii="Times New Roman" w:hAnsi="Times New Roman" w:cs="Times New Roman"/>
          <w:sz w:val="20"/>
          <w:szCs w:val="20"/>
        </w:rPr>
        <w:t xml:space="preserve">W przypadku organizacji przez CTT CITTRU </w:t>
      </w:r>
      <w:r w:rsidR="00F54930" w:rsidRPr="3E27B689">
        <w:rPr>
          <w:rFonts w:ascii="Times New Roman" w:hAnsi="Times New Roman" w:cs="Times New Roman"/>
          <w:sz w:val="20"/>
          <w:szCs w:val="20"/>
        </w:rPr>
        <w:t xml:space="preserve">lub </w:t>
      </w:r>
      <w:proofErr w:type="spellStart"/>
      <w:r w:rsidR="00F54930" w:rsidRPr="3E27B689">
        <w:rPr>
          <w:rFonts w:ascii="Times New Roman" w:hAnsi="Times New Roman" w:cs="Times New Roman"/>
          <w:sz w:val="20"/>
          <w:szCs w:val="20"/>
        </w:rPr>
        <w:t>DTWiP</w:t>
      </w:r>
      <w:proofErr w:type="spellEnd"/>
      <w:r w:rsidR="00F54930" w:rsidRPr="3E27B689">
        <w:rPr>
          <w:rFonts w:ascii="Times New Roman" w:hAnsi="Times New Roman" w:cs="Times New Roman"/>
          <w:sz w:val="20"/>
          <w:szCs w:val="20"/>
        </w:rPr>
        <w:t xml:space="preserve"> </w:t>
      </w:r>
      <w:r w:rsidR="005C4BFA" w:rsidRPr="3E27B689">
        <w:rPr>
          <w:rFonts w:ascii="Times New Roman" w:hAnsi="Times New Roman" w:cs="Times New Roman"/>
          <w:sz w:val="20"/>
          <w:szCs w:val="20"/>
        </w:rPr>
        <w:t>wydarzenia</w:t>
      </w:r>
      <w:r w:rsidRPr="3E27B689">
        <w:rPr>
          <w:rFonts w:ascii="Times New Roman" w:hAnsi="Times New Roman" w:cs="Times New Roman"/>
          <w:sz w:val="20"/>
          <w:szCs w:val="20"/>
        </w:rPr>
        <w:t xml:space="preserve"> podsumowującego wyniki prac przedwdrożeniowych Kierownik </w:t>
      </w:r>
      <w:r w:rsidR="00E66833" w:rsidRPr="3E27B689">
        <w:rPr>
          <w:rFonts w:ascii="Times New Roman" w:hAnsi="Times New Roman" w:cs="Times New Roman"/>
          <w:sz w:val="20"/>
          <w:szCs w:val="20"/>
        </w:rPr>
        <w:t xml:space="preserve">lub wyznaczony przez niego przedstawiciel zespołu </w:t>
      </w:r>
      <w:r w:rsidRPr="3E27B689">
        <w:rPr>
          <w:rFonts w:ascii="Times New Roman" w:hAnsi="Times New Roman" w:cs="Times New Roman"/>
          <w:sz w:val="20"/>
          <w:szCs w:val="20"/>
        </w:rPr>
        <w:t xml:space="preserve">zobowiązany będzie do prezentacji Innowacji przed przedstawicielami podmiotów zainteresowanych wdrożeniem Innowacji oraz </w:t>
      </w:r>
      <w:r w:rsidR="005C4BFA" w:rsidRPr="3E27B689">
        <w:rPr>
          <w:rFonts w:ascii="Times New Roman" w:hAnsi="Times New Roman" w:cs="Times New Roman"/>
          <w:sz w:val="20"/>
          <w:szCs w:val="20"/>
        </w:rPr>
        <w:t xml:space="preserve">do </w:t>
      </w:r>
      <w:r w:rsidRPr="3E27B689">
        <w:rPr>
          <w:rFonts w:ascii="Times New Roman" w:hAnsi="Times New Roman" w:cs="Times New Roman"/>
          <w:sz w:val="20"/>
          <w:szCs w:val="20"/>
        </w:rPr>
        <w:t xml:space="preserve">wzięcia udziału w szkoleniach przygotowujących do takiego wydarzenia. </w:t>
      </w:r>
    </w:p>
    <w:p w14:paraId="23074E1C" w14:textId="7C73EDB7" w:rsidR="00ED72D3" w:rsidRPr="001E0AA9" w:rsidRDefault="00ED72D3" w:rsidP="009813F8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3E27B689">
        <w:rPr>
          <w:rFonts w:ascii="Times New Roman" w:hAnsi="Times New Roman" w:cs="Times New Roman"/>
          <w:sz w:val="20"/>
          <w:szCs w:val="20"/>
        </w:rPr>
        <w:lastRenderedPageBreak/>
        <w:t xml:space="preserve">W przypadku, gdy </w:t>
      </w:r>
      <w:r w:rsidR="00D3571A" w:rsidRPr="3E27B689">
        <w:rPr>
          <w:rFonts w:ascii="Times New Roman" w:hAnsi="Times New Roman" w:cs="Times New Roman"/>
          <w:sz w:val="20"/>
          <w:szCs w:val="20"/>
        </w:rPr>
        <w:t xml:space="preserve">zgłoszenie, o którym mowa w pkt </w:t>
      </w:r>
      <w:r w:rsidR="00E66833" w:rsidRPr="3E27B689">
        <w:rPr>
          <w:rFonts w:ascii="Times New Roman" w:hAnsi="Times New Roman" w:cs="Times New Roman"/>
          <w:sz w:val="20"/>
          <w:szCs w:val="20"/>
        </w:rPr>
        <w:t>2</w:t>
      </w:r>
      <w:r w:rsidR="002333C9" w:rsidRPr="3E27B689">
        <w:rPr>
          <w:rFonts w:ascii="Times New Roman" w:hAnsi="Times New Roman" w:cs="Times New Roman"/>
          <w:sz w:val="20"/>
          <w:szCs w:val="20"/>
        </w:rPr>
        <w:t>3</w:t>
      </w:r>
      <w:r w:rsidR="00E66833" w:rsidRPr="3E27B689">
        <w:rPr>
          <w:rFonts w:ascii="Times New Roman" w:hAnsi="Times New Roman" w:cs="Times New Roman"/>
          <w:sz w:val="20"/>
          <w:szCs w:val="20"/>
        </w:rPr>
        <w:t xml:space="preserve"> </w:t>
      </w:r>
      <w:r w:rsidRPr="3E27B689">
        <w:rPr>
          <w:rFonts w:ascii="Times New Roman" w:hAnsi="Times New Roman" w:cs="Times New Roman"/>
          <w:sz w:val="20"/>
          <w:szCs w:val="20"/>
        </w:rPr>
        <w:t xml:space="preserve">uzasadnia przerwanie lub wcześniejsze zakończenie realizacji prac przedwdrożeniowych ze względu na uzyskane rezultaty, Dyrektor </w:t>
      </w:r>
      <w:r w:rsidR="004A440A" w:rsidRPr="3E27B689">
        <w:rPr>
          <w:rFonts w:ascii="Times New Roman" w:hAnsi="Times New Roman" w:cs="Times New Roman"/>
          <w:sz w:val="20"/>
          <w:szCs w:val="20"/>
        </w:rPr>
        <w:t>lu</w:t>
      </w:r>
      <w:r w:rsidR="00054284" w:rsidRPr="3E27B689">
        <w:rPr>
          <w:rFonts w:ascii="Times New Roman" w:hAnsi="Times New Roman" w:cs="Times New Roman"/>
          <w:sz w:val="20"/>
          <w:szCs w:val="20"/>
        </w:rPr>
        <w:t xml:space="preserve">b Prorektor </w:t>
      </w:r>
      <w:r w:rsidR="00F2780E" w:rsidRPr="3E27B689">
        <w:rPr>
          <w:rFonts w:ascii="Times New Roman" w:hAnsi="Times New Roman" w:cs="Times New Roman"/>
          <w:sz w:val="20"/>
          <w:szCs w:val="20"/>
        </w:rPr>
        <w:t xml:space="preserve">(lub osoba przez niego wskazana) </w:t>
      </w:r>
      <w:r w:rsidRPr="3E27B689">
        <w:rPr>
          <w:rFonts w:ascii="Times New Roman" w:hAnsi="Times New Roman" w:cs="Times New Roman"/>
          <w:sz w:val="20"/>
          <w:szCs w:val="20"/>
        </w:rPr>
        <w:t>może podjąć decyzję o przerwaniu lub wcześniejszym zakończeniu realizacji prac przedwdrożeniowych.</w:t>
      </w:r>
    </w:p>
    <w:p w14:paraId="6A4C44F0" w14:textId="3086AA8C" w:rsidR="00ED72D3" w:rsidRDefault="00ED72D3" w:rsidP="009813F8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448" w:hanging="448"/>
        <w:jc w:val="both"/>
        <w:rPr>
          <w:rFonts w:ascii="Times New Roman" w:hAnsi="Times New Roman" w:cs="Times New Roman"/>
          <w:sz w:val="20"/>
          <w:szCs w:val="20"/>
        </w:rPr>
      </w:pPr>
      <w:r w:rsidRPr="3E27B689">
        <w:rPr>
          <w:rFonts w:ascii="Times New Roman" w:hAnsi="Times New Roman" w:cs="Times New Roman"/>
          <w:sz w:val="20"/>
          <w:szCs w:val="20"/>
        </w:rPr>
        <w:t>Rażące uchybienia w wydatkowaniu środków oraz realizacji zadań niezgodnych z harmonogramem mogą skutkować przerwaniem lub wcześniejszym zakończeniem realizacji prac przedwdrożeniowych decyzją Dyrektora</w:t>
      </w:r>
      <w:r w:rsidR="004A440A" w:rsidRPr="3E27B689">
        <w:rPr>
          <w:rFonts w:ascii="Times New Roman" w:hAnsi="Times New Roman" w:cs="Times New Roman"/>
          <w:sz w:val="20"/>
          <w:szCs w:val="20"/>
        </w:rPr>
        <w:t xml:space="preserve"> lu</w:t>
      </w:r>
      <w:r w:rsidR="000A35DF" w:rsidRPr="3E27B689">
        <w:rPr>
          <w:rFonts w:ascii="Times New Roman" w:hAnsi="Times New Roman" w:cs="Times New Roman"/>
          <w:sz w:val="20"/>
          <w:szCs w:val="20"/>
        </w:rPr>
        <w:t>b Prorektora</w:t>
      </w:r>
      <w:r w:rsidR="00F2780E" w:rsidRPr="3E27B689">
        <w:rPr>
          <w:rFonts w:ascii="Times New Roman" w:hAnsi="Times New Roman" w:cs="Times New Roman"/>
          <w:sz w:val="20"/>
          <w:szCs w:val="20"/>
        </w:rPr>
        <w:t xml:space="preserve"> (lub osoby przez niego wskazanej)</w:t>
      </w:r>
      <w:r w:rsidR="001F2C4E" w:rsidRPr="3E27B689">
        <w:rPr>
          <w:rFonts w:ascii="Times New Roman" w:hAnsi="Times New Roman" w:cs="Times New Roman"/>
          <w:sz w:val="20"/>
          <w:szCs w:val="20"/>
        </w:rPr>
        <w:t xml:space="preserve">. </w:t>
      </w:r>
      <w:r w:rsidRPr="3E27B689">
        <w:rPr>
          <w:rFonts w:ascii="Times New Roman" w:hAnsi="Times New Roman" w:cs="Times New Roman"/>
          <w:sz w:val="20"/>
          <w:szCs w:val="20"/>
        </w:rPr>
        <w:t>W takim przypadku Rada może zobowiązać Kierownika do zwrotu nieprawidłowo wydatkowanych środków.</w:t>
      </w:r>
      <w:r w:rsidR="00A23644" w:rsidRPr="3E27B689">
        <w:rPr>
          <w:rFonts w:ascii="Times New Roman" w:hAnsi="Times New Roman" w:cs="Times New Roman"/>
          <w:sz w:val="20"/>
          <w:szCs w:val="20"/>
        </w:rPr>
        <w:t xml:space="preserve"> W szczególnie uzasadnionych przypadkach Dyrektor </w:t>
      </w:r>
      <w:r w:rsidR="004A440A" w:rsidRPr="3E27B689">
        <w:rPr>
          <w:rFonts w:ascii="Times New Roman" w:hAnsi="Times New Roman" w:cs="Times New Roman"/>
          <w:sz w:val="20"/>
          <w:szCs w:val="20"/>
        </w:rPr>
        <w:t xml:space="preserve">lub </w:t>
      </w:r>
      <w:r w:rsidR="000A35DF" w:rsidRPr="3E27B689">
        <w:rPr>
          <w:rFonts w:ascii="Times New Roman" w:hAnsi="Times New Roman" w:cs="Times New Roman"/>
          <w:sz w:val="20"/>
          <w:szCs w:val="20"/>
        </w:rPr>
        <w:t>Prorektor</w:t>
      </w:r>
      <w:r w:rsidR="002F0540" w:rsidRPr="3E27B689">
        <w:rPr>
          <w:rFonts w:ascii="Times New Roman" w:hAnsi="Times New Roman" w:cs="Times New Roman"/>
          <w:sz w:val="20"/>
          <w:szCs w:val="20"/>
        </w:rPr>
        <w:t xml:space="preserve"> </w:t>
      </w:r>
      <w:r w:rsidR="00F2780E" w:rsidRPr="3E27B689">
        <w:rPr>
          <w:rFonts w:ascii="Times New Roman" w:hAnsi="Times New Roman" w:cs="Times New Roman"/>
          <w:sz w:val="20"/>
          <w:szCs w:val="20"/>
        </w:rPr>
        <w:t xml:space="preserve">(lub osoba przez niego wskazana) </w:t>
      </w:r>
      <w:r w:rsidR="00A23644" w:rsidRPr="3E27B689">
        <w:rPr>
          <w:rFonts w:ascii="Times New Roman" w:hAnsi="Times New Roman" w:cs="Times New Roman"/>
          <w:sz w:val="20"/>
          <w:szCs w:val="20"/>
        </w:rPr>
        <w:t>może podjąć decyzję o wykluczeniu Kierownika z możliwości uzyskania dofinansowania w ramach kolejnych konkursów ogłaszanych przez CTT CITTRU</w:t>
      </w:r>
      <w:r w:rsidR="004A440A" w:rsidRPr="3E27B689">
        <w:rPr>
          <w:rFonts w:ascii="Times New Roman" w:hAnsi="Times New Roman" w:cs="Times New Roman"/>
          <w:sz w:val="20"/>
          <w:szCs w:val="20"/>
        </w:rPr>
        <w:t xml:space="preserve"> lub </w:t>
      </w:r>
      <w:proofErr w:type="spellStart"/>
      <w:r w:rsidR="004A440A" w:rsidRPr="3E27B689">
        <w:rPr>
          <w:rFonts w:ascii="Times New Roman" w:hAnsi="Times New Roman" w:cs="Times New Roman"/>
          <w:sz w:val="20"/>
          <w:szCs w:val="20"/>
        </w:rPr>
        <w:t>DTWiP</w:t>
      </w:r>
      <w:proofErr w:type="spellEnd"/>
      <w:r w:rsidR="00A23644" w:rsidRPr="3E27B689">
        <w:rPr>
          <w:rFonts w:ascii="Times New Roman" w:hAnsi="Times New Roman" w:cs="Times New Roman"/>
          <w:sz w:val="20"/>
          <w:szCs w:val="20"/>
        </w:rPr>
        <w:t>.</w:t>
      </w:r>
    </w:p>
    <w:p w14:paraId="0AFD90F2" w14:textId="77777777" w:rsidR="00ED72D3" w:rsidRDefault="00ED72D3" w:rsidP="009813F8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434" w:hanging="434"/>
        <w:jc w:val="both"/>
        <w:rPr>
          <w:rFonts w:ascii="Times New Roman" w:hAnsi="Times New Roman" w:cs="Times New Roman"/>
          <w:sz w:val="20"/>
          <w:szCs w:val="20"/>
        </w:rPr>
      </w:pPr>
      <w:r w:rsidRPr="3E27B689">
        <w:rPr>
          <w:rFonts w:ascii="Times New Roman" w:hAnsi="Times New Roman" w:cs="Times New Roman"/>
          <w:sz w:val="20"/>
          <w:szCs w:val="20"/>
        </w:rPr>
        <w:t>W przypadku zakończenia realizacji lub przerwania realizacji prac przedwdrożeniowych i niewydatkowania całości dofinansowania, niewykorzystane środki zostaną przeznaczone na sfinansowanie innych zgłoszonych do dofinansowania prac przedwdrożeniowych.</w:t>
      </w:r>
    </w:p>
    <w:p w14:paraId="3CAE3AA7" w14:textId="0C79F356" w:rsidR="00DD3E85" w:rsidRDefault="00ED72D3" w:rsidP="009813F8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434" w:hanging="434"/>
        <w:jc w:val="both"/>
        <w:rPr>
          <w:rFonts w:ascii="Times New Roman" w:hAnsi="Times New Roman" w:cs="Times New Roman"/>
          <w:sz w:val="20"/>
          <w:szCs w:val="20"/>
        </w:rPr>
      </w:pPr>
      <w:r w:rsidRPr="3E27B689">
        <w:rPr>
          <w:rFonts w:ascii="Times New Roman" w:hAnsi="Times New Roman" w:cs="Times New Roman"/>
          <w:sz w:val="20"/>
          <w:szCs w:val="20"/>
        </w:rPr>
        <w:t>W przypadku, gdy prace przedwdrożeniowe wymagać będą pokrycia kosztów przekraczających sumę przyznanego dofinansowania, koszty te mogą zostać pokryte przez jednostkę organizacyjną UJ</w:t>
      </w:r>
      <w:r w:rsidR="00C76F7A" w:rsidRPr="3E27B689">
        <w:rPr>
          <w:rFonts w:ascii="Times New Roman" w:hAnsi="Times New Roman" w:cs="Times New Roman"/>
          <w:sz w:val="20"/>
          <w:szCs w:val="20"/>
        </w:rPr>
        <w:t xml:space="preserve"> lub UEK</w:t>
      </w:r>
      <w:r w:rsidRPr="3E27B689">
        <w:rPr>
          <w:rFonts w:ascii="Times New Roman" w:hAnsi="Times New Roman" w:cs="Times New Roman"/>
          <w:sz w:val="20"/>
          <w:szCs w:val="20"/>
        </w:rPr>
        <w:t xml:space="preserve">, </w:t>
      </w:r>
      <w:r>
        <w:br/>
      </w:r>
      <w:r w:rsidRPr="3E27B689">
        <w:rPr>
          <w:rFonts w:ascii="Times New Roman" w:hAnsi="Times New Roman" w:cs="Times New Roman"/>
          <w:sz w:val="20"/>
          <w:szCs w:val="20"/>
        </w:rPr>
        <w:t>z której pochodzi zespół badawczy. Wyłączną decyzję w tym zakresie podejmuje Kierownik jednostki</w:t>
      </w:r>
      <w:r w:rsidR="000F0627" w:rsidRPr="3E27B689">
        <w:rPr>
          <w:rFonts w:ascii="Times New Roman" w:hAnsi="Times New Roman" w:cs="Times New Roman"/>
          <w:sz w:val="20"/>
          <w:szCs w:val="20"/>
        </w:rPr>
        <w:t xml:space="preserve"> na wniosek Kierownika</w:t>
      </w:r>
      <w:r w:rsidRPr="3E27B689">
        <w:rPr>
          <w:rFonts w:ascii="Times New Roman" w:hAnsi="Times New Roman" w:cs="Times New Roman"/>
          <w:sz w:val="20"/>
          <w:szCs w:val="20"/>
        </w:rPr>
        <w:t>.</w:t>
      </w:r>
    </w:p>
    <w:sectPr w:rsidR="00DD3E85" w:rsidSect="00FA4210">
      <w:headerReference w:type="default" r:id="rId13"/>
      <w:footerReference w:type="default" r:id="rId14"/>
      <w:pgSz w:w="11906" w:h="16838" w:code="9"/>
      <w:pgMar w:top="1417" w:right="1417" w:bottom="1417" w:left="1417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8075" w14:textId="77777777" w:rsidR="001721F4" w:rsidRDefault="001721F4" w:rsidP="00122DDA">
      <w:pPr>
        <w:spacing w:after="0" w:line="240" w:lineRule="auto"/>
      </w:pPr>
      <w:r>
        <w:separator/>
      </w:r>
    </w:p>
  </w:endnote>
  <w:endnote w:type="continuationSeparator" w:id="0">
    <w:p w14:paraId="13CDFA5E" w14:textId="77777777" w:rsidR="001721F4" w:rsidRDefault="001721F4" w:rsidP="00122DDA">
      <w:pPr>
        <w:spacing w:after="0" w:line="240" w:lineRule="auto"/>
      </w:pPr>
      <w:r>
        <w:continuationSeparator/>
      </w:r>
    </w:p>
  </w:endnote>
  <w:endnote w:type="continuationNotice" w:id="1">
    <w:p w14:paraId="128554DA" w14:textId="77777777" w:rsidR="001721F4" w:rsidRDefault="001721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EA5B" w14:textId="77777777" w:rsidR="004E1A02" w:rsidRDefault="00EC5F24" w:rsidP="004E1A02">
    <w:pPr>
      <w:pStyle w:val="Stopka"/>
      <w:ind w:left="-142"/>
    </w:pPr>
    <w:r>
      <w:rPr>
        <w:noProof/>
      </w:rPr>
      <w:drawing>
        <wp:anchor distT="0" distB="0" distL="114300" distR="114300" simplePos="0" relativeHeight="251658249" behindDoc="0" locked="0" layoutInCell="1" allowOverlap="1" wp14:anchorId="0C74D826" wp14:editId="7994DB41">
          <wp:simplePos x="0" y="0"/>
          <wp:positionH relativeFrom="column">
            <wp:posOffset>4690745</wp:posOffset>
          </wp:positionH>
          <wp:positionV relativeFrom="paragraph">
            <wp:posOffset>-245745</wp:posOffset>
          </wp:positionV>
          <wp:extent cx="1952625" cy="638175"/>
          <wp:effectExtent l="0" t="0" r="9525" b="952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8" behindDoc="0" locked="0" layoutInCell="1" allowOverlap="1" wp14:anchorId="5EAC4851" wp14:editId="125F476F">
          <wp:simplePos x="0" y="0"/>
          <wp:positionH relativeFrom="column">
            <wp:posOffset>2404745</wp:posOffset>
          </wp:positionH>
          <wp:positionV relativeFrom="paragraph">
            <wp:posOffset>-112395</wp:posOffset>
          </wp:positionV>
          <wp:extent cx="2419350" cy="36195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7" behindDoc="0" locked="0" layoutInCell="1" allowOverlap="1" wp14:anchorId="6C443866" wp14:editId="1034A169">
          <wp:simplePos x="0" y="0"/>
          <wp:positionH relativeFrom="column">
            <wp:posOffset>623570</wp:posOffset>
          </wp:positionH>
          <wp:positionV relativeFrom="paragraph">
            <wp:posOffset>-245745</wp:posOffset>
          </wp:positionV>
          <wp:extent cx="1781175" cy="6000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6" behindDoc="1" locked="0" layoutInCell="1" allowOverlap="1" wp14:anchorId="4E20F277" wp14:editId="61029758">
          <wp:simplePos x="0" y="0"/>
          <wp:positionH relativeFrom="column">
            <wp:posOffset>-862330</wp:posOffset>
          </wp:positionH>
          <wp:positionV relativeFrom="paragraph">
            <wp:posOffset>-283845</wp:posOffset>
          </wp:positionV>
          <wp:extent cx="1381125" cy="752475"/>
          <wp:effectExtent l="0" t="0" r="952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5" behindDoc="1" locked="0" layoutInCell="1" allowOverlap="1" wp14:anchorId="3B74FC30" wp14:editId="11FB8286">
          <wp:simplePos x="0" y="0"/>
          <wp:positionH relativeFrom="column">
            <wp:posOffset>3088005</wp:posOffset>
          </wp:positionH>
          <wp:positionV relativeFrom="paragraph">
            <wp:posOffset>4973955</wp:posOffset>
          </wp:positionV>
          <wp:extent cx="1375410" cy="739140"/>
          <wp:effectExtent l="0" t="0" r="0" b="3810"/>
          <wp:wrapNone/>
          <wp:docPr id="2" name="Obraz 2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4" behindDoc="1" locked="0" layoutInCell="1" allowOverlap="1" wp14:anchorId="78CB1449" wp14:editId="21D62AE9">
          <wp:simplePos x="0" y="0"/>
          <wp:positionH relativeFrom="column">
            <wp:posOffset>3175</wp:posOffset>
          </wp:positionH>
          <wp:positionV relativeFrom="paragraph">
            <wp:posOffset>9867265</wp:posOffset>
          </wp:positionV>
          <wp:extent cx="1375410" cy="739140"/>
          <wp:effectExtent l="0" t="0" r="0" b="3810"/>
          <wp:wrapNone/>
          <wp:docPr id="1" name="Obraz 1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6E48B" w14:textId="77777777" w:rsidR="001721F4" w:rsidRDefault="001721F4" w:rsidP="00122DDA">
      <w:pPr>
        <w:spacing w:after="0" w:line="240" w:lineRule="auto"/>
      </w:pPr>
      <w:r>
        <w:separator/>
      </w:r>
    </w:p>
  </w:footnote>
  <w:footnote w:type="continuationSeparator" w:id="0">
    <w:p w14:paraId="77BDD2EC" w14:textId="77777777" w:rsidR="001721F4" w:rsidRDefault="001721F4" w:rsidP="00122DDA">
      <w:pPr>
        <w:spacing w:after="0" w:line="240" w:lineRule="auto"/>
      </w:pPr>
      <w:r>
        <w:continuationSeparator/>
      </w:r>
    </w:p>
  </w:footnote>
  <w:footnote w:type="continuationNotice" w:id="1">
    <w:p w14:paraId="7BB94124" w14:textId="77777777" w:rsidR="001721F4" w:rsidRDefault="001721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E3E9" w14:textId="77777777" w:rsidR="00F76C9F" w:rsidRPr="009B5F91" w:rsidRDefault="001721F4" w:rsidP="009B5F91">
    <w:pPr>
      <w:pStyle w:val="Nagwek"/>
      <w:tabs>
        <w:tab w:val="clear" w:pos="4536"/>
        <w:tab w:val="clear" w:pos="9072"/>
        <w:tab w:val="center" w:pos="142"/>
        <w:tab w:val="right" w:pos="14034"/>
      </w:tabs>
      <w:spacing w:after="240"/>
      <w:ind w:left="142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object w:dxaOrig="1440" w:dyaOrig="1440" w14:anchorId="11A25B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26.2pt;margin-top:19.9pt;width:63pt;height:36.75pt;z-index:251658242">
          <v:imagedata r:id="rId1" o:title=""/>
          <w10:wrap type="square"/>
        </v:shape>
        <o:OLEObject Type="Embed" ProgID="AcroExch.Document.DC" ShapeID="_x0000_s2050" DrawAspect="Content" ObjectID="_1683615732" r:id="rId2"/>
      </w:object>
    </w:r>
    <w:r w:rsidR="009B5F91">
      <w:rPr>
        <w:b/>
        <w:noProof/>
      </w:rPr>
      <w:drawing>
        <wp:anchor distT="0" distB="0" distL="114300" distR="114300" simplePos="0" relativeHeight="251658240" behindDoc="1" locked="0" layoutInCell="1" allowOverlap="1" wp14:anchorId="1CA6B7E2" wp14:editId="42E9187E">
          <wp:simplePos x="0" y="0"/>
          <wp:positionH relativeFrom="column">
            <wp:posOffset>1480820</wp:posOffset>
          </wp:positionH>
          <wp:positionV relativeFrom="paragraph">
            <wp:posOffset>280670</wp:posOffset>
          </wp:positionV>
          <wp:extent cx="705485" cy="425450"/>
          <wp:effectExtent l="0" t="0" r="0" b="0"/>
          <wp:wrapTight wrapText="bothSides">
            <wp:wrapPolygon edited="0">
              <wp:start x="0" y="0"/>
              <wp:lineTo x="0" y="20310"/>
              <wp:lineTo x="20997" y="20310"/>
              <wp:lineTo x="20997" y="0"/>
              <wp:lineTo x="0" y="0"/>
            </wp:wrapPolygon>
          </wp:wrapTight>
          <wp:docPr id="5" name="Obraz 5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F91">
      <w:rPr>
        <w:noProof/>
      </w:rPr>
      <w:drawing>
        <wp:anchor distT="0" distB="0" distL="114300" distR="114300" simplePos="0" relativeHeight="251658243" behindDoc="1" locked="0" layoutInCell="1" allowOverlap="1" wp14:anchorId="035D66E1" wp14:editId="314075B2">
          <wp:simplePos x="0" y="0"/>
          <wp:positionH relativeFrom="column">
            <wp:posOffset>61595</wp:posOffset>
          </wp:positionH>
          <wp:positionV relativeFrom="paragraph">
            <wp:posOffset>299720</wp:posOffset>
          </wp:positionV>
          <wp:extent cx="900430" cy="427355"/>
          <wp:effectExtent l="0" t="0" r="0" b="0"/>
          <wp:wrapTight wrapText="bothSides">
            <wp:wrapPolygon edited="0">
              <wp:start x="0" y="0"/>
              <wp:lineTo x="0" y="20220"/>
              <wp:lineTo x="21021" y="20220"/>
              <wp:lineTo x="21021" y="0"/>
              <wp:lineTo x="0" y="0"/>
            </wp:wrapPolygon>
          </wp:wrapTight>
          <wp:docPr id="6" name="Obraz 6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5F91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1" behindDoc="0" locked="0" layoutInCell="1" allowOverlap="1" wp14:anchorId="10EFEABC" wp14:editId="5F0CE332">
          <wp:simplePos x="0" y="0"/>
          <wp:positionH relativeFrom="column">
            <wp:posOffset>4385945</wp:posOffset>
          </wp:positionH>
          <wp:positionV relativeFrom="page">
            <wp:posOffset>419100</wp:posOffset>
          </wp:positionV>
          <wp:extent cx="1311275" cy="273050"/>
          <wp:effectExtent l="0" t="0" r="317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27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82872">
      <w:rPr>
        <w:noProof/>
      </w:rPr>
      <w:ptab w:relativeTo="margin" w:alignment="left" w:leader="none"/>
    </w:r>
    <w:r w:rsidR="3E27B689" w:rsidRPr="2FBE2E27">
      <w:rPr>
        <w:rFonts w:ascii="Times New Roman" w:hAnsi="Times New Roman" w:cs="Times New Roman"/>
        <w:b/>
        <w:bCs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</w:t>
    </w:r>
    <w:r w:rsidR="002F48B2">
      <w:rPr>
        <w:rFonts w:ascii="Times New Roman" w:hAnsi="Times New Roman" w:cs="Times New Roman"/>
        <w:b/>
        <w:noProof/>
        <w:sz w:val="24"/>
        <w:szCs w:val="24"/>
      </w:rPr>
      <w:ptab w:relativeTo="margin" w:alignment="right" w:leader="none"/>
    </w:r>
    <w:r w:rsidR="002F48B2">
      <w:rPr>
        <w:rFonts w:ascii="Times New Roman" w:hAnsi="Times New Roman" w:cs="Times New Roman"/>
        <w:b/>
        <w:noProof/>
        <w:sz w:val="24"/>
        <w:szCs w:val="24"/>
      </w:rPr>
      <w:ptab w:relativeTo="margin" w:alignment="right" w:leader="none"/>
    </w:r>
    <w:r w:rsidR="3E27B689" w:rsidRPr="2FBE2E27">
      <w:rPr>
        <w:rFonts w:ascii="Times New Roman" w:hAnsi="Times New Roman" w:cs="Times New Roman"/>
        <w:b/>
        <w:bCs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A68"/>
    <w:multiLevelType w:val="hybridMultilevel"/>
    <w:tmpl w:val="B5E00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7544"/>
    <w:multiLevelType w:val="hybridMultilevel"/>
    <w:tmpl w:val="E6420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37024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A66EB"/>
    <w:multiLevelType w:val="hybridMultilevel"/>
    <w:tmpl w:val="3EDCE9C6"/>
    <w:lvl w:ilvl="0" w:tplc="0B4E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0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5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0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4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10930BE"/>
    <w:multiLevelType w:val="hybridMultilevel"/>
    <w:tmpl w:val="4AF06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17894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949D5"/>
    <w:multiLevelType w:val="hybridMultilevel"/>
    <w:tmpl w:val="71869FCA"/>
    <w:lvl w:ilvl="0" w:tplc="75C69C32">
      <w:start w:val="1"/>
      <w:numFmt w:val="decimal"/>
      <w:lvlText w:val="%1)"/>
      <w:lvlJc w:val="left"/>
      <w:pPr>
        <w:ind w:left="72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 w15:restartNumberingAfterBreak="0">
    <w:nsid w:val="64A609C9"/>
    <w:multiLevelType w:val="hybridMultilevel"/>
    <w:tmpl w:val="4058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11"/>
  </w:num>
  <w:num w:numId="12">
    <w:abstractNumId w:val="12"/>
  </w:num>
  <w:num w:numId="13">
    <w:abstractNumId w:val="0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S0sLC0MLIwMzI2NzNR0lEKTi0uzszPAykwqgUAl4d6lCwAAAA="/>
  </w:docVars>
  <w:rsids>
    <w:rsidRoot w:val="00122DDA"/>
    <w:rsid w:val="00000B0F"/>
    <w:rsid w:val="00001F39"/>
    <w:rsid w:val="000028F7"/>
    <w:rsid w:val="000104B9"/>
    <w:rsid w:val="00015364"/>
    <w:rsid w:val="000261D0"/>
    <w:rsid w:val="000263CC"/>
    <w:rsid w:val="000267E0"/>
    <w:rsid w:val="00026D7E"/>
    <w:rsid w:val="00033398"/>
    <w:rsid w:val="000375FC"/>
    <w:rsid w:val="00041926"/>
    <w:rsid w:val="00045F66"/>
    <w:rsid w:val="00051F49"/>
    <w:rsid w:val="00054284"/>
    <w:rsid w:val="0005589F"/>
    <w:rsid w:val="00057D25"/>
    <w:rsid w:val="00062352"/>
    <w:rsid w:val="000632E8"/>
    <w:rsid w:val="0006540A"/>
    <w:rsid w:val="00065E15"/>
    <w:rsid w:val="000971EE"/>
    <w:rsid w:val="000A35DF"/>
    <w:rsid w:val="000B2C33"/>
    <w:rsid w:val="000B487D"/>
    <w:rsid w:val="000B50D7"/>
    <w:rsid w:val="000C5A1F"/>
    <w:rsid w:val="000C74A4"/>
    <w:rsid w:val="000D269B"/>
    <w:rsid w:val="000E440D"/>
    <w:rsid w:val="000E5188"/>
    <w:rsid w:val="000EEEB5"/>
    <w:rsid w:val="000F0627"/>
    <w:rsid w:val="000F529D"/>
    <w:rsid w:val="000F7AE5"/>
    <w:rsid w:val="0010763C"/>
    <w:rsid w:val="00120CD7"/>
    <w:rsid w:val="00122DDA"/>
    <w:rsid w:val="0012492E"/>
    <w:rsid w:val="00131DC3"/>
    <w:rsid w:val="00136387"/>
    <w:rsid w:val="001536AE"/>
    <w:rsid w:val="00154D47"/>
    <w:rsid w:val="00162BF4"/>
    <w:rsid w:val="00162FC4"/>
    <w:rsid w:val="001721F4"/>
    <w:rsid w:val="00173969"/>
    <w:rsid w:val="001825E1"/>
    <w:rsid w:val="001832D0"/>
    <w:rsid w:val="0018552E"/>
    <w:rsid w:val="0019013E"/>
    <w:rsid w:val="001A47AC"/>
    <w:rsid w:val="001A4AE6"/>
    <w:rsid w:val="001B0BD8"/>
    <w:rsid w:val="001B327F"/>
    <w:rsid w:val="001B5E79"/>
    <w:rsid w:val="001C6BDF"/>
    <w:rsid w:val="001C6D84"/>
    <w:rsid w:val="001D41C7"/>
    <w:rsid w:val="001D6036"/>
    <w:rsid w:val="001D7FFB"/>
    <w:rsid w:val="001E0AA9"/>
    <w:rsid w:val="001E7899"/>
    <w:rsid w:val="001F13C3"/>
    <w:rsid w:val="001F2C4E"/>
    <w:rsid w:val="001F513B"/>
    <w:rsid w:val="001F7D16"/>
    <w:rsid w:val="00203B2C"/>
    <w:rsid w:val="00217DFA"/>
    <w:rsid w:val="00222C6B"/>
    <w:rsid w:val="002236BA"/>
    <w:rsid w:val="00226FB0"/>
    <w:rsid w:val="002333C9"/>
    <w:rsid w:val="0024234D"/>
    <w:rsid w:val="00242E1A"/>
    <w:rsid w:val="002510C8"/>
    <w:rsid w:val="0025131A"/>
    <w:rsid w:val="00263A87"/>
    <w:rsid w:val="0027474C"/>
    <w:rsid w:val="00280E2A"/>
    <w:rsid w:val="002851EA"/>
    <w:rsid w:val="002A0378"/>
    <w:rsid w:val="002A73E3"/>
    <w:rsid w:val="002B1816"/>
    <w:rsid w:val="002B77C9"/>
    <w:rsid w:val="002C3470"/>
    <w:rsid w:val="002C6E8D"/>
    <w:rsid w:val="002E1FE6"/>
    <w:rsid w:val="002E5951"/>
    <w:rsid w:val="002F0540"/>
    <w:rsid w:val="002F46BC"/>
    <w:rsid w:val="002F48B2"/>
    <w:rsid w:val="00301E60"/>
    <w:rsid w:val="00302731"/>
    <w:rsid w:val="003054D6"/>
    <w:rsid w:val="00307C86"/>
    <w:rsid w:val="0031531D"/>
    <w:rsid w:val="003162E3"/>
    <w:rsid w:val="0032033A"/>
    <w:rsid w:val="00320BCE"/>
    <w:rsid w:val="0032197A"/>
    <w:rsid w:val="00331681"/>
    <w:rsid w:val="00332BFE"/>
    <w:rsid w:val="00334768"/>
    <w:rsid w:val="003448CE"/>
    <w:rsid w:val="00352B4D"/>
    <w:rsid w:val="00356218"/>
    <w:rsid w:val="00357581"/>
    <w:rsid w:val="00360B8E"/>
    <w:rsid w:val="0036219B"/>
    <w:rsid w:val="00364A3F"/>
    <w:rsid w:val="00380B56"/>
    <w:rsid w:val="00386BF3"/>
    <w:rsid w:val="00393E03"/>
    <w:rsid w:val="00397633"/>
    <w:rsid w:val="003A35CB"/>
    <w:rsid w:val="003B14F9"/>
    <w:rsid w:val="003B31B9"/>
    <w:rsid w:val="003B6012"/>
    <w:rsid w:val="003B64B6"/>
    <w:rsid w:val="003C12AF"/>
    <w:rsid w:val="003C3D6F"/>
    <w:rsid w:val="003C45B9"/>
    <w:rsid w:val="003C67D0"/>
    <w:rsid w:val="003D11C3"/>
    <w:rsid w:val="003E01B6"/>
    <w:rsid w:val="003E2A13"/>
    <w:rsid w:val="003F182C"/>
    <w:rsid w:val="00402B65"/>
    <w:rsid w:val="004116DC"/>
    <w:rsid w:val="00413123"/>
    <w:rsid w:val="004136FA"/>
    <w:rsid w:val="00417572"/>
    <w:rsid w:val="00417B15"/>
    <w:rsid w:val="00421C35"/>
    <w:rsid w:val="00426BDB"/>
    <w:rsid w:val="00430C92"/>
    <w:rsid w:val="0043207B"/>
    <w:rsid w:val="004359D6"/>
    <w:rsid w:val="00436D24"/>
    <w:rsid w:val="004412F3"/>
    <w:rsid w:val="00444554"/>
    <w:rsid w:val="00444728"/>
    <w:rsid w:val="00445D97"/>
    <w:rsid w:val="00446A09"/>
    <w:rsid w:val="0045026B"/>
    <w:rsid w:val="0045238A"/>
    <w:rsid w:val="00454EAD"/>
    <w:rsid w:val="00455037"/>
    <w:rsid w:val="0046289D"/>
    <w:rsid w:val="00466390"/>
    <w:rsid w:val="00472AFC"/>
    <w:rsid w:val="0047495D"/>
    <w:rsid w:val="0047587D"/>
    <w:rsid w:val="004846ED"/>
    <w:rsid w:val="00485C19"/>
    <w:rsid w:val="0049498E"/>
    <w:rsid w:val="00495EB1"/>
    <w:rsid w:val="00496DFE"/>
    <w:rsid w:val="004A440A"/>
    <w:rsid w:val="004A503B"/>
    <w:rsid w:val="004A5671"/>
    <w:rsid w:val="004A655E"/>
    <w:rsid w:val="004B2968"/>
    <w:rsid w:val="004B38E6"/>
    <w:rsid w:val="004B6005"/>
    <w:rsid w:val="004B6B1F"/>
    <w:rsid w:val="004B778C"/>
    <w:rsid w:val="004C12DC"/>
    <w:rsid w:val="004C65AF"/>
    <w:rsid w:val="004E0813"/>
    <w:rsid w:val="004E1A02"/>
    <w:rsid w:val="004E2B00"/>
    <w:rsid w:val="004E37E5"/>
    <w:rsid w:val="004E6A9A"/>
    <w:rsid w:val="004E7DFD"/>
    <w:rsid w:val="004F1062"/>
    <w:rsid w:val="004F6F0F"/>
    <w:rsid w:val="00500D24"/>
    <w:rsid w:val="005124BF"/>
    <w:rsid w:val="0051344F"/>
    <w:rsid w:val="00513A2D"/>
    <w:rsid w:val="0053143F"/>
    <w:rsid w:val="005343AE"/>
    <w:rsid w:val="005356A4"/>
    <w:rsid w:val="00537B5E"/>
    <w:rsid w:val="00540733"/>
    <w:rsid w:val="00545687"/>
    <w:rsid w:val="00545E56"/>
    <w:rsid w:val="005535A9"/>
    <w:rsid w:val="00555087"/>
    <w:rsid w:val="00576AE6"/>
    <w:rsid w:val="00577CD7"/>
    <w:rsid w:val="00581B47"/>
    <w:rsid w:val="00587B1B"/>
    <w:rsid w:val="00595FEE"/>
    <w:rsid w:val="00596289"/>
    <w:rsid w:val="005977B3"/>
    <w:rsid w:val="005A12BE"/>
    <w:rsid w:val="005A2FCE"/>
    <w:rsid w:val="005A37E5"/>
    <w:rsid w:val="005B63BB"/>
    <w:rsid w:val="005B69BA"/>
    <w:rsid w:val="005C1657"/>
    <w:rsid w:val="005C3DDC"/>
    <w:rsid w:val="005C4BFA"/>
    <w:rsid w:val="005E1325"/>
    <w:rsid w:val="005E527C"/>
    <w:rsid w:val="005F273C"/>
    <w:rsid w:val="00601E38"/>
    <w:rsid w:val="006078C7"/>
    <w:rsid w:val="0061141F"/>
    <w:rsid w:val="00611610"/>
    <w:rsid w:val="00617DDB"/>
    <w:rsid w:val="006202D7"/>
    <w:rsid w:val="00624660"/>
    <w:rsid w:val="00624CA2"/>
    <w:rsid w:val="006256B8"/>
    <w:rsid w:val="00632FC1"/>
    <w:rsid w:val="00641676"/>
    <w:rsid w:val="00645137"/>
    <w:rsid w:val="006566B3"/>
    <w:rsid w:val="006602EC"/>
    <w:rsid w:val="00664705"/>
    <w:rsid w:val="006656C8"/>
    <w:rsid w:val="0067422C"/>
    <w:rsid w:val="00684B57"/>
    <w:rsid w:val="006A7755"/>
    <w:rsid w:val="006B3C35"/>
    <w:rsid w:val="006B5E67"/>
    <w:rsid w:val="006B6C58"/>
    <w:rsid w:val="006E04D0"/>
    <w:rsid w:val="006E07FE"/>
    <w:rsid w:val="006E1859"/>
    <w:rsid w:val="006E2A93"/>
    <w:rsid w:val="006E2B77"/>
    <w:rsid w:val="006E316E"/>
    <w:rsid w:val="006E3433"/>
    <w:rsid w:val="006E3636"/>
    <w:rsid w:val="006F33CB"/>
    <w:rsid w:val="006F4CDB"/>
    <w:rsid w:val="006F51F2"/>
    <w:rsid w:val="007126E8"/>
    <w:rsid w:val="00715EDF"/>
    <w:rsid w:val="00716BDF"/>
    <w:rsid w:val="00717D20"/>
    <w:rsid w:val="00721A92"/>
    <w:rsid w:val="00733FA5"/>
    <w:rsid w:val="00753520"/>
    <w:rsid w:val="00755230"/>
    <w:rsid w:val="0076771C"/>
    <w:rsid w:val="00767A1F"/>
    <w:rsid w:val="007817C2"/>
    <w:rsid w:val="0078287E"/>
    <w:rsid w:val="0078307B"/>
    <w:rsid w:val="00791809"/>
    <w:rsid w:val="007A325C"/>
    <w:rsid w:val="007B418A"/>
    <w:rsid w:val="007B46C9"/>
    <w:rsid w:val="007C02F7"/>
    <w:rsid w:val="007C21FE"/>
    <w:rsid w:val="007C5899"/>
    <w:rsid w:val="007C59A7"/>
    <w:rsid w:val="007D5B66"/>
    <w:rsid w:val="007E2D95"/>
    <w:rsid w:val="007E3DBA"/>
    <w:rsid w:val="007F0B8D"/>
    <w:rsid w:val="007F39B4"/>
    <w:rsid w:val="007F50D6"/>
    <w:rsid w:val="00804EDC"/>
    <w:rsid w:val="00805D40"/>
    <w:rsid w:val="00816ACD"/>
    <w:rsid w:val="0082168A"/>
    <w:rsid w:val="00824A0B"/>
    <w:rsid w:val="008250E1"/>
    <w:rsid w:val="00831054"/>
    <w:rsid w:val="008335B2"/>
    <w:rsid w:val="0083555B"/>
    <w:rsid w:val="00840802"/>
    <w:rsid w:val="0084227C"/>
    <w:rsid w:val="008546B7"/>
    <w:rsid w:val="00862A5A"/>
    <w:rsid w:val="00866E6F"/>
    <w:rsid w:val="00867CFC"/>
    <w:rsid w:val="00867F4E"/>
    <w:rsid w:val="00872171"/>
    <w:rsid w:val="00872731"/>
    <w:rsid w:val="008845DC"/>
    <w:rsid w:val="00884BEE"/>
    <w:rsid w:val="00884EB6"/>
    <w:rsid w:val="00885974"/>
    <w:rsid w:val="008874AF"/>
    <w:rsid w:val="008951AA"/>
    <w:rsid w:val="0089680D"/>
    <w:rsid w:val="008B4BED"/>
    <w:rsid w:val="008B551E"/>
    <w:rsid w:val="008C7D7E"/>
    <w:rsid w:val="008D2211"/>
    <w:rsid w:val="008D392F"/>
    <w:rsid w:val="008E3E6E"/>
    <w:rsid w:val="008E6487"/>
    <w:rsid w:val="008E75B3"/>
    <w:rsid w:val="008E7A59"/>
    <w:rsid w:val="008F0149"/>
    <w:rsid w:val="008F0AF0"/>
    <w:rsid w:val="008F1E52"/>
    <w:rsid w:val="00904534"/>
    <w:rsid w:val="00906CD3"/>
    <w:rsid w:val="0090750C"/>
    <w:rsid w:val="00910155"/>
    <w:rsid w:val="00910D66"/>
    <w:rsid w:val="00911952"/>
    <w:rsid w:val="00916E14"/>
    <w:rsid w:val="00924D3B"/>
    <w:rsid w:val="00925F65"/>
    <w:rsid w:val="00927471"/>
    <w:rsid w:val="00927F3D"/>
    <w:rsid w:val="009339F9"/>
    <w:rsid w:val="00933A9B"/>
    <w:rsid w:val="00934612"/>
    <w:rsid w:val="0095001D"/>
    <w:rsid w:val="0095067C"/>
    <w:rsid w:val="009528FC"/>
    <w:rsid w:val="00957DF4"/>
    <w:rsid w:val="00957EC4"/>
    <w:rsid w:val="0096009D"/>
    <w:rsid w:val="0096639C"/>
    <w:rsid w:val="0097053E"/>
    <w:rsid w:val="00971B5D"/>
    <w:rsid w:val="009813F8"/>
    <w:rsid w:val="0099363C"/>
    <w:rsid w:val="009A1825"/>
    <w:rsid w:val="009A2368"/>
    <w:rsid w:val="009A7D8B"/>
    <w:rsid w:val="009B5F91"/>
    <w:rsid w:val="009D0E10"/>
    <w:rsid w:val="009D2867"/>
    <w:rsid w:val="009D5A2B"/>
    <w:rsid w:val="009E6149"/>
    <w:rsid w:val="009F1FD0"/>
    <w:rsid w:val="009F31E8"/>
    <w:rsid w:val="00A14CD4"/>
    <w:rsid w:val="00A23644"/>
    <w:rsid w:val="00A26F5E"/>
    <w:rsid w:val="00A313FF"/>
    <w:rsid w:val="00A32B46"/>
    <w:rsid w:val="00A36158"/>
    <w:rsid w:val="00A36C0C"/>
    <w:rsid w:val="00A40845"/>
    <w:rsid w:val="00A4155A"/>
    <w:rsid w:val="00A46A2B"/>
    <w:rsid w:val="00A47FEB"/>
    <w:rsid w:val="00A6335A"/>
    <w:rsid w:val="00A63A44"/>
    <w:rsid w:val="00A711F0"/>
    <w:rsid w:val="00A75094"/>
    <w:rsid w:val="00A75F5F"/>
    <w:rsid w:val="00A82872"/>
    <w:rsid w:val="00A92DF7"/>
    <w:rsid w:val="00AA34EA"/>
    <w:rsid w:val="00AA49CD"/>
    <w:rsid w:val="00AB1930"/>
    <w:rsid w:val="00AB5057"/>
    <w:rsid w:val="00AB5731"/>
    <w:rsid w:val="00AB58D7"/>
    <w:rsid w:val="00AB5DBA"/>
    <w:rsid w:val="00AB6F7D"/>
    <w:rsid w:val="00AB73FB"/>
    <w:rsid w:val="00AB767B"/>
    <w:rsid w:val="00AC455D"/>
    <w:rsid w:val="00AD044E"/>
    <w:rsid w:val="00AD2342"/>
    <w:rsid w:val="00AD7C6D"/>
    <w:rsid w:val="00AD7F8A"/>
    <w:rsid w:val="00AE0C06"/>
    <w:rsid w:val="00AE13DC"/>
    <w:rsid w:val="00AE14C0"/>
    <w:rsid w:val="00AF1E0A"/>
    <w:rsid w:val="00AF29E7"/>
    <w:rsid w:val="00AF606D"/>
    <w:rsid w:val="00AF6D7B"/>
    <w:rsid w:val="00B130AA"/>
    <w:rsid w:val="00B21824"/>
    <w:rsid w:val="00B247A5"/>
    <w:rsid w:val="00B25F6D"/>
    <w:rsid w:val="00B271B8"/>
    <w:rsid w:val="00B334E3"/>
    <w:rsid w:val="00B33B3A"/>
    <w:rsid w:val="00B358C6"/>
    <w:rsid w:val="00B35D5E"/>
    <w:rsid w:val="00B3761E"/>
    <w:rsid w:val="00B4078B"/>
    <w:rsid w:val="00B50A94"/>
    <w:rsid w:val="00B5598F"/>
    <w:rsid w:val="00B63657"/>
    <w:rsid w:val="00B64BA2"/>
    <w:rsid w:val="00B723CD"/>
    <w:rsid w:val="00B72F8A"/>
    <w:rsid w:val="00B76DD7"/>
    <w:rsid w:val="00B8739C"/>
    <w:rsid w:val="00B92C13"/>
    <w:rsid w:val="00B941E8"/>
    <w:rsid w:val="00B94749"/>
    <w:rsid w:val="00B9633C"/>
    <w:rsid w:val="00BA125A"/>
    <w:rsid w:val="00BA311C"/>
    <w:rsid w:val="00BA50D1"/>
    <w:rsid w:val="00BB1858"/>
    <w:rsid w:val="00BB5257"/>
    <w:rsid w:val="00BC0575"/>
    <w:rsid w:val="00BC70BE"/>
    <w:rsid w:val="00BD09D8"/>
    <w:rsid w:val="00BD2364"/>
    <w:rsid w:val="00BD4EA2"/>
    <w:rsid w:val="00BE5303"/>
    <w:rsid w:val="00BF14A4"/>
    <w:rsid w:val="00BF1B06"/>
    <w:rsid w:val="00BF1C7A"/>
    <w:rsid w:val="00BF5A50"/>
    <w:rsid w:val="00C02377"/>
    <w:rsid w:val="00C208E6"/>
    <w:rsid w:val="00C2149B"/>
    <w:rsid w:val="00C31BED"/>
    <w:rsid w:val="00C31D93"/>
    <w:rsid w:val="00C36AC3"/>
    <w:rsid w:val="00C37DDE"/>
    <w:rsid w:val="00C41170"/>
    <w:rsid w:val="00C429A9"/>
    <w:rsid w:val="00C450F7"/>
    <w:rsid w:val="00C54CC8"/>
    <w:rsid w:val="00C57D89"/>
    <w:rsid w:val="00C73D6C"/>
    <w:rsid w:val="00C76F7A"/>
    <w:rsid w:val="00C773DE"/>
    <w:rsid w:val="00C85EA0"/>
    <w:rsid w:val="00C91934"/>
    <w:rsid w:val="00C92000"/>
    <w:rsid w:val="00CA3C83"/>
    <w:rsid w:val="00CB4359"/>
    <w:rsid w:val="00CB6932"/>
    <w:rsid w:val="00CC20ED"/>
    <w:rsid w:val="00CC2DFD"/>
    <w:rsid w:val="00CC4EA6"/>
    <w:rsid w:val="00CD0ED4"/>
    <w:rsid w:val="00CD7164"/>
    <w:rsid w:val="00CE0940"/>
    <w:rsid w:val="00CE0E41"/>
    <w:rsid w:val="00CE1A34"/>
    <w:rsid w:val="00CF27DE"/>
    <w:rsid w:val="00CF5F79"/>
    <w:rsid w:val="00CF67AB"/>
    <w:rsid w:val="00D00149"/>
    <w:rsid w:val="00D05643"/>
    <w:rsid w:val="00D158FB"/>
    <w:rsid w:val="00D2128D"/>
    <w:rsid w:val="00D306CD"/>
    <w:rsid w:val="00D30C67"/>
    <w:rsid w:val="00D32A05"/>
    <w:rsid w:val="00D3571A"/>
    <w:rsid w:val="00D357EE"/>
    <w:rsid w:val="00D40EB7"/>
    <w:rsid w:val="00D46FED"/>
    <w:rsid w:val="00D54497"/>
    <w:rsid w:val="00D65203"/>
    <w:rsid w:val="00D67CE4"/>
    <w:rsid w:val="00D704A4"/>
    <w:rsid w:val="00D72442"/>
    <w:rsid w:val="00D87920"/>
    <w:rsid w:val="00D917C7"/>
    <w:rsid w:val="00D92759"/>
    <w:rsid w:val="00D94711"/>
    <w:rsid w:val="00D9546B"/>
    <w:rsid w:val="00DA3158"/>
    <w:rsid w:val="00DC0EBA"/>
    <w:rsid w:val="00DC10F2"/>
    <w:rsid w:val="00DC56D6"/>
    <w:rsid w:val="00DC6FFA"/>
    <w:rsid w:val="00DC7947"/>
    <w:rsid w:val="00DD2380"/>
    <w:rsid w:val="00DD30AC"/>
    <w:rsid w:val="00DD3E85"/>
    <w:rsid w:val="00DD4C3C"/>
    <w:rsid w:val="00DE2A89"/>
    <w:rsid w:val="00DE3F1C"/>
    <w:rsid w:val="00DE4210"/>
    <w:rsid w:val="00DE4D0A"/>
    <w:rsid w:val="00DE5F5B"/>
    <w:rsid w:val="00DE6FA2"/>
    <w:rsid w:val="00DE779E"/>
    <w:rsid w:val="00DF2FB5"/>
    <w:rsid w:val="00DF3028"/>
    <w:rsid w:val="00DF3E60"/>
    <w:rsid w:val="00DF6D0F"/>
    <w:rsid w:val="00E12211"/>
    <w:rsid w:val="00E17C4E"/>
    <w:rsid w:val="00E21A52"/>
    <w:rsid w:val="00E21E28"/>
    <w:rsid w:val="00E279C5"/>
    <w:rsid w:val="00E31466"/>
    <w:rsid w:val="00E331CE"/>
    <w:rsid w:val="00E35010"/>
    <w:rsid w:val="00E36B9C"/>
    <w:rsid w:val="00E411FB"/>
    <w:rsid w:val="00E44C11"/>
    <w:rsid w:val="00E5326B"/>
    <w:rsid w:val="00E54902"/>
    <w:rsid w:val="00E5543A"/>
    <w:rsid w:val="00E55FD9"/>
    <w:rsid w:val="00E60541"/>
    <w:rsid w:val="00E66833"/>
    <w:rsid w:val="00E724E3"/>
    <w:rsid w:val="00E77171"/>
    <w:rsid w:val="00E86170"/>
    <w:rsid w:val="00E92955"/>
    <w:rsid w:val="00EA18FF"/>
    <w:rsid w:val="00EA1BB0"/>
    <w:rsid w:val="00EB4099"/>
    <w:rsid w:val="00EB7CBE"/>
    <w:rsid w:val="00EC5F24"/>
    <w:rsid w:val="00ED50D4"/>
    <w:rsid w:val="00ED72D3"/>
    <w:rsid w:val="00EE10BD"/>
    <w:rsid w:val="00EE1DE5"/>
    <w:rsid w:val="00EE520C"/>
    <w:rsid w:val="00EF00F4"/>
    <w:rsid w:val="00EF1EF7"/>
    <w:rsid w:val="00F0703D"/>
    <w:rsid w:val="00F0705B"/>
    <w:rsid w:val="00F10FE9"/>
    <w:rsid w:val="00F2780E"/>
    <w:rsid w:val="00F30092"/>
    <w:rsid w:val="00F30122"/>
    <w:rsid w:val="00F33657"/>
    <w:rsid w:val="00F35520"/>
    <w:rsid w:val="00F41DC3"/>
    <w:rsid w:val="00F44F9E"/>
    <w:rsid w:val="00F5201F"/>
    <w:rsid w:val="00F54930"/>
    <w:rsid w:val="00F57807"/>
    <w:rsid w:val="00F6097E"/>
    <w:rsid w:val="00F64145"/>
    <w:rsid w:val="00F6761B"/>
    <w:rsid w:val="00F67EE8"/>
    <w:rsid w:val="00F72040"/>
    <w:rsid w:val="00F7207F"/>
    <w:rsid w:val="00F76C9F"/>
    <w:rsid w:val="00F77239"/>
    <w:rsid w:val="00F77DCD"/>
    <w:rsid w:val="00F83C99"/>
    <w:rsid w:val="00F85B4D"/>
    <w:rsid w:val="00F9539D"/>
    <w:rsid w:val="00F95D72"/>
    <w:rsid w:val="00FA4210"/>
    <w:rsid w:val="00FB2C3D"/>
    <w:rsid w:val="00FB3A3D"/>
    <w:rsid w:val="00FB6A96"/>
    <w:rsid w:val="00FC341C"/>
    <w:rsid w:val="00FF08B3"/>
    <w:rsid w:val="00FF6958"/>
    <w:rsid w:val="00FF76A5"/>
    <w:rsid w:val="03311BE3"/>
    <w:rsid w:val="034F8CB8"/>
    <w:rsid w:val="03889A46"/>
    <w:rsid w:val="03BA3CAA"/>
    <w:rsid w:val="0417E0B2"/>
    <w:rsid w:val="046ACAD0"/>
    <w:rsid w:val="053870E6"/>
    <w:rsid w:val="084AD49E"/>
    <w:rsid w:val="0AD7A687"/>
    <w:rsid w:val="0B641AEC"/>
    <w:rsid w:val="0F637853"/>
    <w:rsid w:val="11F6F3D8"/>
    <w:rsid w:val="1252E40E"/>
    <w:rsid w:val="1334D926"/>
    <w:rsid w:val="15D72CB1"/>
    <w:rsid w:val="19528CDF"/>
    <w:rsid w:val="19777BC1"/>
    <w:rsid w:val="202A59AE"/>
    <w:rsid w:val="21EBA09B"/>
    <w:rsid w:val="25D46B41"/>
    <w:rsid w:val="275C8B5B"/>
    <w:rsid w:val="290673C4"/>
    <w:rsid w:val="2B6D1136"/>
    <w:rsid w:val="2FBE2E27"/>
    <w:rsid w:val="32AA740D"/>
    <w:rsid w:val="33B6AE82"/>
    <w:rsid w:val="363400E7"/>
    <w:rsid w:val="3805BEDA"/>
    <w:rsid w:val="3879F3E7"/>
    <w:rsid w:val="3AC45F30"/>
    <w:rsid w:val="3E27B689"/>
    <w:rsid w:val="49DD15E0"/>
    <w:rsid w:val="4B9FE9BB"/>
    <w:rsid w:val="4C710F8D"/>
    <w:rsid w:val="4D4A2FB7"/>
    <w:rsid w:val="4DE668E1"/>
    <w:rsid w:val="5AC8AF5C"/>
    <w:rsid w:val="6262B15E"/>
    <w:rsid w:val="63FB5F87"/>
    <w:rsid w:val="65A07CC8"/>
    <w:rsid w:val="685F5C72"/>
    <w:rsid w:val="6AB57196"/>
    <w:rsid w:val="6D44FC54"/>
    <w:rsid w:val="719E42CF"/>
    <w:rsid w:val="7319DB36"/>
    <w:rsid w:val="78427B3F"/>
    <w:rsid w:val="78AC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9132A14"/>
  <w15:docId w15:val="{946BCAF2-2F22-4330-B7C4-3FB817D8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D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C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1C3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1C35"/>
    <w:rPr>
      <w:vertAlign w:val="superscript"/>
    </w:rPr>
  </w:style>
  <w:style w:type="paragraph" w:styleId="Poprawka">
    <w:name w:val="Revision"/>
    <w:hidden/>
    <w:uiPriority w:val="99"/>
    <w:semiHidden/>
    <w:rsid w:val="005C4BFA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lgorzata.smaga-szczepanczyk@uek.krakow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ittru@uj.ed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4d5beba6-f886-4898-9e69-70e2de8e06a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4" ma:contentTypeDescription="Utwórz nowy dokument." ma:contentTypeScope="" ma:versionID="71c2785f3b1010f8cf0b1bd49fb6db68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4a58f1b44e6a9e7743905e8af5a5d4bd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4DC21A-EDF2-4C33-BF86-99A0132C0D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d5beba6-f886-4898-9e69-70e2de8e06a2"/>
  </ds:schemaRefs>
</ds:datastoreItem>
</file>

<file path=customXml/itemProps2.xml><?xml version="1.0" encoding="utf-8"?>
<ds:datastoreItem xmlns:ds="http://schemas.openxmlformats.org/officeDocument/2006/customXml" ds:itemID="{0399ED8C-3D7B-48C8-9ED3-0AACE211C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b77bb3-f23b-4d12-a875-287572c8ab0e"/>
    <ds:schemaRef ds:uri="4d5beba6-f886-4898-9e69-70e2de8e0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269477-F0CF-45AE-AFAF-0DF1614F7C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A84C10-3844-4C64-BF20-D5F9ACCD6C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2520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Gurba CITTRU UJ</dc:creator>
  <cp:keywords/>
  <cp:lastModifiedBy>Gabriela Konopka-Cupiał</cp:lastModifiedBy>
  <cp:revision>5</cp:revision>
  <cp:lastPrinted>2020-11-23T14:50:00Z</cp:lastPrinted>
  <dcterms:created xsi:type="dcterms:W3CDTF">2021-05-21T14:34:00Z</dcterms:created>
  <dcterms:modified xsi:type="dcterms:W3CDTF">2021-05-27T08:16:00Z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  <property fmtid="{D5CDD505-2E9C-101B-9397-08002B2CF9AE}" pid="3" name="Order">
    <vt:r8>5264100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